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Miami,</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Professional Healthcare Services Procurement Document</w:t>
      </w:r>
    </w:p>
    <w:p>
      <w:pPr>
        <w:pStyle w:val="BodyText"/>
      </w:pPr>
      <w:r>
        <w:t xml:space="preserve">PO No.: MIA-OT-2025-00472</w:t>
      </w:r>
    </w:p>
    <w:p>
      <w:pPr>
        <w:pStyle w:val="BodyText"/>
      </w:pPr>
      <w:r>
        <w:t xml:space="preserve">Date of Issue: June 12, 2025</w:t>
      </w:r>
    </w:p>
    <w:bookmarkEnd w:id="20"/>
    <w:bookmarkStart w:id="21" w:name="buyer-purchasing-entity"/>
    <w:p>
      <w:pPr>
        <w:pStyle w:val="Heading3"/>
      </w:pPr>
      <w:r>
        <w:t xml:space="preserve">Buyer (Purchasing Entity)</w:t>
      </w:r>
    </w:p>
    <w:p>
      <w:pPr>
        <w:pStyle w:val="FirstParagraph"/>
      </w:pPr>
      <w:r>
        <w:rPr>
          <w:bCs/>
          <w:b/>
        </w:rPr>
        <w:t xml:space="preserve">Organization:</w:t>
      </w:r>
      <w:r>
        <w:t xml:space="preserve"> </w:t>
      </w:r>
      <w:r>
        <w:t xml:space="preserve">South Florida Rehabilitation &amp; Wellness Center, LLC</w:t>
      </w:r>
    </w:p>
    <w:p>
      <w:pPr>
        <w:pStyle w:val="BodyText"/>
      </w:pPr>
      <w:r>
        <w:rPr>
          <w:bCs/>
          <w:b/>
        </w:rPr>
        <w:t xml:space="preserve">Address:</w:t>
      </w:r>
      <w:r>
        <w:t xml:space="preserve"> </w:t>
      </w:r>
      <w:r>
        <w:t xml:space="preserve">3850 Biscayne Boulevard, Suite 410, Miami, Florida 33137, United States</w:t>
      </w:r>
    </w:p>
    <w:p>
      <w:pPr>
        <w:pStyle w:val="BodyText"/>
      </w:pPr>
      <w:r>
        <w:rPr>
          <w:bCs/>
          <w:b/>
        </w:rPr>
        <w:t xml:space="preserve">Contact:</w:t>
      </w:r>
      <w:r>
        <w:t xml:space="preserve"> </w:t>
      </w:r>
      <w:r>
        <w:t xml:space="preserve">Maria Delgado, Procurement Director</w:t>
      </w:r>
    </w:p>
    <w:p>
      <w:pPr>
        <w:pStyle w:val="BodyText"/>
      </w:pPr>
      <w:r>
        <w:rPr>
          <w:bCs/>
          <w:b/>
        </w:rPr>
        <w:t xml:space="preserve">Phone:</w:t>
      </w:r>
      <w:r>
        <w:t xml:space="preserve"> </w:t>
      </w:r>
      <w:r>
        <w:t xml:space="preserve">(305) 555-0182</w:t>
      </w:r>
    </w:p>
    <w:p>
      <w:pPr>
        <w:pStyle w:val="BodyText"/>
      </w:pPr>
      <w:r>
        <w:rPr>
          <w:bCs/>
          <w:b/>
        </w:rPr>
        <w:t xml:space="preserve">Email:</w:t>
      </w:r>
      <w:r>
        <w:t xml:space="preserve"> </w:t>
      </w:r>
      <w:r>
        <w:t xml:space="preserve">procurement@sfrehabwellness.com</w:t>
      </w:r>
    </w:p>
    <w:p>
      <w:pPr>
        <w:pStyle w:val="BodyText"/>
      </w:pPr>
      <w:r>
        <w:rPr>
          <w:bCs/>
          <w:b/>
        </w:rPr>
        <w:t xml:space="preserve">Tax ID (EIN):</w:t>
      </w:r>
      <w:r>
        <w:t xml:space="preserve"> </w:t>
      </w:r>
      <w:r>
        <w:t xml:space="preserve">82-4471903</w:t>
      </w:r>
    </w:p>
    <w:bookmarkEnd w:id="21"/>
    <w:bookmarkStart w:id="22" w:name="seller-service-provider"/>
    <w:p>
      <w:pPr>
        <w:pStyle w:val="Heading3"/>
      </w:pPr>
      <w:r>
        <w:t xml:space="preserve">Seller (Service Provider)</w:t>
      </w:r>
    </w:p>
    <w:p>
      <w:pPr>
        <w:pStyle w:val="FirstParagraph"/>
      </w:pPr>
      <w:r>
        <w:rPr>
          <w:bCs/>
          <w:b/>
        </w:rPr>
        <w:t xml:space="preserve">Organization:</w:t>
      </w:r>
      <w:r>
        <w:t xml:space="preserve"> </w:t>
      </w:r>
      <w:r>
        <w:t xml:space="preserve">BrightPath Occupational Therapy Group, Inc.</w:t>
      </w:r>
    </w:p>
    <w:p>
      <w:pPr>
        <w:pStyle w:val="BodyText"/>
      </w:pPr>
      <w:r>
        <w:rPr>
          <w:bCs/>
          <w:b/>
        </w:rPr>
        <w:t xml:space="preserve">Address:</w:t>
      </w:r>
      <w:r>
        <w:t xml:space="preserve"> </w:t>
      </w:r>
      <w:r>
        <w:t xml:space="preserve">1200 Brickell Avenue, Floor 7, Miami, Florida 33131, United States</w:t>
      </w:r>
    </w:p>
    <w:p>
      <w:pPr>
        <w:pStyle w:val="BodyText"/>
      </w:pPr>
      <w:r>
        <w:rPr>
          <w:bCs/>
          <w:b/>
        </w:rPr>
        <w:t xml:space="preserve">Contact:</w:t>
      </w:r>
      <w:r>
        <w:t xml:space="preserve"> </w:t>
      </w:r>
      <w:r>
        <w:t xml:space="preserve">Dr. James Whitfield, Practice Manager</w:t>
      </w:r>
    </w:p>
    <w:p>
      <w:pPr>
        <w:pStyle w:val="BodyText"/>
      </w:pPr>
      <w:r>
        <w:rPr>
          <w:bCs/>
          <w:b/>
        </w:rPr>
        <w:t xml:space="preserve">Phone:</w:t>
      </w:r>
      <w:r>
        <w:t xml:space="preserve"> </w:t>
      </w:r>
      <w:r>
        <w:t xml:space="preserve">(305) 555-0247</w:t>
      </w:r>
    </w:p>
    <w:p>
      <w:pPr>
        <w:pStyle w:val="BodyText"/>
      </w:pPr>
      <w:r>
        <w:rPr>
          <w:bCs/>
          <w:b/>
        </w:rPr>
        <w:t xml:space="preserve">Email:</w:t>
      </w:r>
      <w:r>
        <w:t xml:space="preserve"> </w:t>
      </w:r>
      <w:r>
        <w:t xml:space="preserve">contracts@brightpathot.com</w:t>
      </w:r>
    </w:p>
    <w:p>
      <w:pPr>
        <w:pStyle w:val="BodyText"/>
      </w:pPr>
      <w:r>
        <w:rPr>
          <w:bCs/>
          <w:b/>
        </w:rPr>
        <w:t xml:space="preserve">Tax ID (EIN):</w:t>
      </w:r>
      <w:r>
        <w:t xml:space="preserve"> </w:t>
      </w:r>
      <w:r>
        <w:t xml:space="preserve">59-8832147</w:t>
      </w:r>
    </w:p>
    <w:bookmarkEnd w:id="22"/>
    <w:bookmarkStart w:id="23" w:name="delivery-service-location"/>
    <w:p>
      <w:pPr>
        <w:pStyle w:val="Heading3"/>
      </w:pPr>
      <w:r>
        <w:t xml:space="preserve">Delivery / Service Location</w:t>
      </w:r>
    </w:p>
    <w:p>
      <w:pPr>
        <w:pStyle w:val="FirstParagraph"/>
      </w:pPr>
      <w:r>
        <w:rPr>
          <w:bCs/>
          <w:b/>
        </w:rPr>
        <w:t xml:space="preserve">Primary Site:</w:t>
      </w:r>
      <w:r>
        <w:t xml:space="preserve"> </w:t>
      </w:r>
      <w:r>
        <w:t xml:space="preserve">South Florida Rehabilitation &amp; Wellness Center, Miami, Florida, United States</w:t>
      </w:r>
    </w:p>
    <w:p>
      <w:pPr>
        <w:pStyle w:val="BodyText"/>
      </w:pPr>
      <w:r>
        <w:rPr>
          <w:bCs/>
          <w:b/>
        </w:rPr>
        <w:t xml:space="preserve">Secondary Site:</w:t>
      </w:r>
      <w:r>
        <w:t xml:space="preserve"> </w:t>
      </w:r>
      <w:r>
        <w:t xml:space="preserve">Coral Gables Outpatient Clinic, 2100 Ponce de Leon Blvd, Miami, FL 33143</w:t>
      </w:r>
    </w:p>
    <w:p>
      <w:pPr>
        <w:pStyle w:val="BodyText"/>
      </w:pPr>
      <w:r>
        <w:rPr>
          <w:bCs/>
          <w:b/>
        </w:rPr>
        <w:t xml:space="preserve">Service Region:</w:t>
      </w:r>
      <w:r>
        <w:t xml:space="preserve"> </w:t>
      </w:r>
      <w:r>
        <w:t xml:space="preserve">Miami-Dade County, United States Miami metropolitan area</w:t>
      </w:r>
    </w:p>
    <w:bookmarkEnd w:id="23"/>
    <w:bookmarkStart w:id="24" w:name="order-details"/>
    <w:p>
      <w:pPr>
        <w:pStyle w:val="Heading3"/>
      </w:pPr>
      <w:r>
        <w:t xml:space="preserve">Order Details</w:t>
      </w:r>
    </w:p>
    <w:p>
      <w:pPr>
        <w:pStyle w:val="FirstParagraph"/>
      </w:pPr>
      <w:r>
        <w:rPr>
          <w:bCs/>
          <w:b/>
        </w:rPr>
        <w:t xml:space="preserve">Payment Terms:</w:t>
      </w:r>
      <w:r>
        <w:t xml:space="preserve"> </w:t>
      </w:r>
      <w:r>
        <w:t xml:space="preserve">Net 30 days from invoice date</w:t>
      </w:r>
    </w:p>
    <w:p>
      <w:pPr>
        <w:pStyle w:val="BodyText"/>
      </w:pPr>
      <w:r>
        <w:rPr>
          <w:bCs/>
          <w:b/>
        </w:rPr>
        <w:t xml:space="preserve">Service Period:</w:t>
      </w:r>
      <w:r>
        <w:t xml:space="preserve"> </w:t>
      </w:r>
      <w:r>
        <w:t xml:space="preserve">July 1, 2025 – June 30, 2026 (12 months)</w:t>
      </w:r>
    </w:p>
    <w:p>
      <w:pPr>
        <w:pStyle w:val="BodyText"/>
      </w:pPr>
      <w:r>
        <w:rPr>
          <w:bCs/>
          <w:b/>
        </w:rPr>
        <w:t xml:space="preserve">Currency:</w:t>
      </w:r>
      <w:r>
        <w:t xml:space="preserve"> </w:t>
      </w:r>
      <w:r>
        <w:t xml:space="preserve">United States Dollars (USD)</w:t>
      </w:r>
    </w:p>
    <w:p>
      <w:pPr>
        <w:pStyle w:val="BodyText"/>
      </w:pPr>
      <w:r>
        <w:rPr>
          <w:bCs/>
          <w:b/>
        </w:rPr>
        <w:t xml:space="preserve">Incoterms:</w:t>
      </w:r>
      <w:r>
        <w:t xml:space="preserve"> </w:t>
      </w:r>
      <w:r>
        <w:t xml:space="preserve">N/A (Professional Services)</w:t>
      </w:r>
    </w:p>
    <w:bookmarkEnd w:id="24"/>
    <w:bookmarkStart w:id="25" w:name="X25e0960f21f78d56e288ae1f5871b0ea87cd9ca"/>
    <w:p>
      <w:pPr>
        <w:pStyle w:val="Heading2"/>
      </w:pPr>
      <w:r>
        <w:t xml:space="preserve">Line Items – Occupational Therapist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Occupational Therapist Credential</w:t>
            </w:r>
          </w:p>
        </w:tc>
        <w:tc>
          <w:tcPr/>
          <w:p>
            <w:pPr>
              <w:pStyle w:val="Compact"/>
              <w:jc w:val="left"/>
            </w:pPr>
            <w:r>
              <w:t xml:space="preserve">Qty / Hours</w:t>
            </w:r>
          </w:p>
        </w:tc>
        <w:tc>
          <w:tcPr/>
          <w:p>
            <w:pPr>
              <w:pStyle w:val="Compact"/>
              <w:jc w:val="left"/>
            </w:pPr>
            <w:r>
              <w:t xml:space="preserve">Unit Rate (USD)</w:t>
            </w:r>
          </w:p>
        </w:tc>
        <w:tc>
          <w:tcPr/>
          <w:p>
            <w:pPr>
              <w:pStyle w:val="Compact"/>
              <w:jc w:val="left"/>
            </w:pPr>
            <w:r>
              <w:t xml:space="preserve">Extended Amount (USD)</w:t>
            </w:r>
          </w:p>
        </w:tc>
      </w:tr>
      <w:tr>
        <w:tc>
          <w:tcPr/>
          <w:p>
            <w:pPr>
              <w:pStyle w:val="Compact"/>
              <w:jc w:val="left"/>
            </w:pPr>
            <w:r>
              <w:t xml:space="preserve">001</w:t>
            </w:r>
          </w:p>
        </w:tc>
        <w:tc>
          <w:tcPr/>
          <w:p>
            <w:pPr>
              <w:pStyle w:val="Compact"/>
              <w:jc w:val="left"/>
            </w:pPr>
            <w:r>
              <w:t xml:space="preserve">Full-time Occupational Therapist (OT) – Pediatric Rehabilitation Program, 40 hrs/week, Monday through Friday. Includes individualized treatment plans, sensory integration therapy, and adaptive equipment training for children aged 3–17 in the United States Miami service area.</w:t>
            </w:r>
          </w:p>
        </w:tc>
        <w:tc>
          <w:tcPr/>
          <w:p>
            <w:pPr>
              <w:pStyle w:val="Compact"/>
              <w:jc w:val="left"/>
            </w:pPr>
            <w:r>
              <w:t xml:space="preserve">OTR/L (Florida License #OT-2025-8841)</w:t>
            </w:r>
          </w:p>
        </w:tc>
        <w:tc>
          <w:tcPr/>
          <w:p>
            <w:pPr>
              <w:pStyle w:val="Compact"/>
              <w:jc w:val="left"/>
            </w:pPr>
            <w:r>
              <w:t xml:space="preserve">2,080 hrs</w:t>
            </w:r>
          </w:p>
        </w:tc>
        <w:tc>
          <w:tcPr/>
          <w:p>
            <w:pPr>
              <w:pStyle w:val="Compact"/>
              <w:jc w:val="left"/>
            </w:pPr>
            <w:r>
              <w:t xml:space="preserve">$52.00</w:t>
            </w:r>
          </w:p>
        </w:tc>
        <w:tc>
          <w:tcPr/>
          <w:p>
            <w:pPr>
              <w:pStyle w:val="Compact"/>
              <w:jc w:val="left"/>
            </w:pPr>
            <w:r>
              <w:t xml:space="preserve">$108,160.00</w:t>
            </w:r>
          </w:p>
        </w:tc>
      </w:tr>
      <w:tr>
        <w:tc>
          <w:tcPr/>
          <w:p>
            <w:pPr>
              <w:pStyle w:val="Compact"/>
              <w:jc w:val="left"/>
            </w:pPr>
            <w:r>
              <w:t xml:space="preserve">002</w:t>
            </w:r>
          </w:p>
        </w:tc>
        <w:tc>
          <w:tcPr/>
          <w:p>
            <w:pPr>
              <w:pStyle w:val="Compact"/>
              <w:jc w:val="left"/>
            </w:pPr>
            <w:r>
              <w:t xml:space="preserve">Part-time Occupational Therapist (OT) – Geriatric Hand &amp; Upper Extremity Rehabilitation, 20 hrs/week, Tuesday and Thursday. Specialized in post-stroke recovery, arthritis management, and prosthetic adaptation for adult patients in Miami, Florida, United States.</w:t>
            </w:r>
          </w:p>
        </w:tc>
        <w:tc>
          <w:tcPr/>
          <w:p>
            <w:pPr>
              <w:pStyle w:val="Compact"/>
              <w:jc w:val="left"/>
            </w:pPr>
            <w:r>
              <w:t xml:space="preserve">OTR/L (Florida License #OT-2025-9102)</w:t>
            </w:r>
          </w:p>
        </w:tc>
        <w:tc>
          <w:tcPr/>
          <w:p>
            <w:pPr>
              <w:pStyle w:val="Compact"/>
              <w:jc w:val="left"/>
            </w:pPr>
            <w:r>
              <w:t xml:space="preserve">1,040 hrs</w:t>
            </w:r>
          </w:p>
        </w:tc>
        <w:tc>
          <w:tcPr/>
          <w:p>
            <w:pPr>
              <w:pStyle w:val="Compact"/>
              <w:jc w:val="left"/>
            </w:pPr>
            <w:r>
              <w:t xml:space="preserve">$55.00</w:t>
            </w:r>
          </w:p>
        </w:tc>
        <w:tc>
          <w:tcPr/>
          <w:p>
            <w:pPr>
              <w:pStyle w:val="Compact"/>
              <w:jc w:val="left"/>
            </w:pPr>
            <w:r>
              <w:t xml:space="preserve">$57,200.00</w:t>
            </w:r>
          </w:p>
        </w:tc>
      </w:tr>
      <w:tr>
        <w:tc>
          <w:tcPr/>
          <w:p>
            <w:pPr>
              <w:pStyle w:val="Compact"/>
              <w:jc w:val="left"/>
            </w:pPr>
            <w:r>
              <w:t xml:space="preserve">003</w:t>
            </w:r>
          </w:p>
        </w:tc>
        <w:tc>
          <w:tcPr/>
          <w:p>
            <w:pPr>
              <w:pStyle w:val="Compact"/>
              <w:jc w:val="left"/>
            </w:pPr>
            <w:r>
              <w:t xml:space="preserve">Occupational Therapist Assistant (OTA) – Group Therapy Sessions, 30 hrs/week. Assists the lead Occupational Therapist in facilitating group activities, fine motor skill workshops, and community reintegration programs for veterans and working-age adults in the United States Miami region.</w:t>
            </w:r>
          </w:p>
        </w:tc>
        <w:tc>
          <w:tcPr/>
          <w:p>
            <w:pPr>
              <w:pStyle w:val="Compact"/>
              <w:jc w:val="left"/>
            </w:pPr>
            <w:r>
              <w:t xml:space="preserve">OTA (Florida License #OTA-2025-3317)</w:t>
            </w:r>
          </w:p>
        </w:tc>
        <w:tc>
          <w:tcPr/>
          <w:p>
            <w:pPr>
              <w:pStyle w:val="Compact"/>
              <w:jc w:val="left"/>
            </w:pPr>
            <w:r>
              <w:t xml:space="preserve">1,560 hrs</w:t>
            </w:r>
          </w:p>
        </w:tc>
        <w:tc>
          <w:tcPr/>
          <w:p>
            <w:pPr>
              <w:pStyle w:val="Compact"/>
              <w:jc w:val="left"/>
            </w:pPr>
            <w:r>
              <w:t xml:space="preserve">$34.00</w:t>
            </w:r>
          </w:p>
        </w:tc>
        <w:tc>
          <w:tcPr/>
          <w:p>
            <w:pPr>
              <w:pStyle w:val="Compact"/>
              <w:jc w:val="left"/>
            </w:pPr>
            <w:r>
              <w:t xml:space="preserve">$53,040.00</w:t>
            </w:r>
          </w:p>
        </w:tc>
      </w:tr>
      <w:tr>
        <w:tc>
          <w:tcPr/>
          <w:p>
            <w:pPr>
              <w:pStyle w:val="Compact"/>
              <w:jc w:val="left"/>
            </w:pPr>
            <w:r>
              <w:t xml:space="preserve">004</w:t>
            </w:r>
          </w:p>
        </w:tc>
        <w:tc>
          <w:tcPr/>
          <w:p>
            <w:pPr>
              <w:pStyle w:val="Compact"/>
              <w:jc w:val="left"/>
            </w:pPr>
            <w:r>
              <w:t xml:space="preserve">Supervisory Occupational Therapist – Clinical Program Oversight, 10 hrs/week. Responsible for quality assurance, staff supervision, patient outcome documentation, and compliance with Florida Board of Occupational Therapy regulations and Joint Commission standards.</w:t>
            </w:r>
          </w:p>
        </w:tc>
        <w:tc>
          <w:tcPr/>
          <w:p>
            <w:pPr>
              <w:pStyle w:val="Compact"/>
              <w:jc w:val="left"/>
            </w:pPr>
            <w:r>
              <w:t xml:space="preserve">OTR/L, CHT (Florida License #OT-2025-7756)</w:t>
            </w:r>
          </w:p>
        </w:tc>
        <w:tc>
          <w:tcPr/>
          <w:p>
            <w:pPr>
              <w:pStyle w:val="Compact"/>
              <w:jc w:val="left"/>
            </w:pPr>
            <w:r>
              <w:t xml:space="preserve">520 hrs</w:t>
            </w:r>
          </w:p>
        </w:tc>
        <w:tc>
          <w:tcPr/>
          <w:p>
            <w:pPr>
              <w:pStyle w:val="Compact"/>
              <w:jc w:val="left"/>
            </w:pPr>
            <w:r>
              <w:t xml:space="preserve">$68.00</w:t>
            </w:r>
          </w:p>
        </w:tc>
        <w:tc>
          <w:tcPr/>
          <w:p>
            <w:pPr>
              <w:pStyle w:val="Compact"/>
              <w:jc w:val="left"/>
            </w:pPr>
            <w:r>
              <w:t xml:space="preserve">$35,360.00</w:t>
            </w:r>
          </w:p>
        </w:tc>
      </w:tr>
      <w:tr>
        <w:tc>
          <w:tcPr/>
          <w:p>
            <w:pPr>
              <w:pStyle w:val="Compact"/>
              <w:jc w:val="left"/>
            </w:pPr>
            <w:r>
              <w:t xml:space="preserve">005</w:t>
            </w:r>
          </w:p>
        </w:tc>
        <w:tc>
          <w:tcPr/>
          <w:p>
            <w:pPr>
              <w:pStyle w:val="Compact"/>
              <w:jc w:val="left"/>
            </w:pPr>
            <w:r>
              <w:t xml:space="preserve">Adaptive Equipment &amp; Assistive Technology Consultation – The Occupational Therapist shall conduct in-home and in-clinic assessments, prescribe, and train patients on adaptive devices, environmental modifications, and assistive technology. Includes up to 40 patient consultations per month across the United States Miami metropolitan area.</w:t>
            </w:r>
          </w:p>
        </w:tc>
        <w:tc>
          <w:tcPr/>
          <w:p>
            <w:pPr>
              <w:pStyle w:val="Compact"/>
              <w:jc w:val="left"/>
            </w:pPr>
            <w:r>
              <w:t xml:space="preserve">OTR/L, ATP (Florida License #OT-2025-6623)</w:t>
            </w:r>
          </w:p>
        </w:tc>
        <w:tc>
          <w:tcPr/>
          <w:p>
            <w:pPr>
              <w:pStyle w:val="Compact"/>
              <w:jc w:val="left"/>
            </w:pPr>
            <w:r>
              <w:t xml:space="preserve">480 hrs</w:t>
            </w:r>
          </w:p>
        </w:tc>
        <w:tc>
          <w:tcPr/>
          <w:p>
            <w:pPr>
              <w:pStyle w:val="Compact"/>
              <w:jc w:val="left"/>
            </w:pPr>
            <w:r>
              <w:t xml:space="preserve">$60.00</w:t>
            </w:r>
          </w:p>
        </w:tc>
        <w:tc>
          <w:tcPr/>
          <w:p>
            <w:pPr>
              <w:pStyle w:val="Compact"/>
              <w:jc w:val="left"/>
            </w:pPr>
            <w:r>
              <w:t xml:space="preserve">$28,800.00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$282,560.00</w:t>
            </w:r>
          </w:p>
        </w:tc>
      </w:tr>
      <w:tr>
        <w:tc>
          <w:tcPr/>
          <w:p>
            <w:pPr>
              <w:pStyle w:val="Compact"/>
              <w:jc w:val="left"/>
            </w:pPr>
            <w:r>
              <w:t xml:space="preserve">Florida State Sales Tax (0% – Professional Services Exempt)</w:t>
            </w:r>
          </w:p>
        </w:tc>
        <w:tc>
          <w:tcPr/>
          <w:p>
            <w:pPr>
              <w:pStyle w:val="Compact"/>
              <w:jc w:val="right"/>
            </w:pPr>
            <w:r>
              <w:t xml:space="preserve">$0.00</w:t>
            </w:r>
          </w:p>
        </w:tc>
      </w:tr>
      <w:tr>
        <w:tc>
          <w:tcPr/>
          <w:p>
            <w:pPr>
              <w:pStyle w:val="Compact"/>
              <w:jc w:val="left"/>
            </w:pPr>
            <w:r>
              <w:t xml:space="preserve">Administrative &amp; Licensing Fee</w:t>
            </w:r>
          </w:p>
        </w:tc>
        <w:tc>
          <w:tcPr/>
          <w:p>
            <w:pPr>
              <w:pStyle w:val="Compact"/>
              <w:jc w:val="right"/>
            </w:pPr>
            <w:r>
              <w:t xml:space="preserve">$2,450.00</w:t>
            </w:r>
          </w:p>
        </w:tc>
      </w:tr>
      <w:tr>
        <w:tc>
          <w:tcPr/>
          <w:p>
            <w:pPr>
              <w:pStyle w:val="Compact"/>
              <w:jc w:val="left"/>
            </w:pPr>
            <w:r>
              <w:t xml:space="preserve">Malpractice Insurance Surcharge (Annual)</w:t>
            </w:r>
          </w:p>
        </w:tc>
        <w:tc>
          <w:tcPr/>
          <w:p>
            <w:pPr>
              <w:pStyle w:val="Compact"/>
              <w:jc w:val="right"/>
            </w:pPr>
            <w:r>
              <w:t xml:space="preserve">$3,800.00</w:t>
            </w:r>
          </w:p>
        </w:tc>
      </w:tr>
      <w:tr>
        <w:tc>
          <w:tcPr/>
          <w:p>
            <w:pPr>
              <w:pStyle w:val="Compact"/>
              <w:jc w:val="left"/>
            </w:pPr>
            <w:r>
              <w:t xml:space="preserve">Grand Total (USD)</w:t>
            </w:r>
          </w:p>
        </w:tc>
        <w:tc>
          <w:tcPr/>
          <w:p>
            <w:pPr>
              <w:pStyle w:val="Compact"/>
              <w:jc w:val="right"/>
            </w:pPr>
            <w:r>
              <w:t xml:space="preserve">$288,810.00</w:t>
            </w:r>
          </w:p>
        </w:tc>
      </w:tr>
    </w:tbl>
    <w:bookmarkEnd w:id="25"/>
    <w:bookmarkStart w:id="26" w:name="Xde1b1aa910af0d218dd23eb59edb0f3a99f22fc"/>
    <w:p>
      <w:pPr>
        <w:pStyle w:val="Heading2"/>
      </w:pPr>
      <w:r>
        <w:t xml:space="preserve">Terms and Conditions of This Purchase Order</w:t>
      </w:r>
    </w:p>
    <w:p>
      <w:pPr>
        <w:numPr>
          <w:ilvl w:val="0"/>
          <w:numId w:val="1001"/>
        </w:numPr>
        <w:pStyle w:val="Compact"/>
      </w:pPr>
      <w:r>
        <w:rPr>
          <w:bCs/>
          <w:b/>
        </w:rPr>
        <w:t xml:space="preserve">Scope of Services:</w:t>
      </w:r>
      <w:r>
        <w:t xml:space="preserve"> </w:t>
      </w:r>
      <w:r>
        <w:t xml:space="preserve">This Purchase Order authorizes the procurement of Occupational Therapist professional services as itemized above. All Occupational Therapist personnel assigned to this contract must hold current, active licensure issued by the Florida Board of Occupational Therapy and must maintain certification in good standing throughout the service period in the United States Miami jurisdiction.</w:t>
      </w:r>
    </w:p>
    <w:p>
      <w:pPr>
        <w:numPr>
          <w:ilvl w:val="0"/>
          <w:numId w:val="1001"/>
        </w:numPr>
        <w:pStyle w:val="Compact"/>
      </w:pPr>
      <w:r>
        <w:rPr>
          <w:bCs/>
          <w:b/>
        </w:rPr>
        <w:t xml:space="preserve">Compliance:</w:t>
      </w:r>
      <w:r>
        <w:t xml:space="preserve"> </w:t>
      </w:r>
      <w:r>
        <w:t xml:space="preserve">The Seller shall ensure that all Occupational Therapist staff comply with all applicable federal, state, and local regulations governing healthcare delivery in Miami, Florida, United States. This includes adherence to HIPAA privacy standards, the Americans with Disabilities Act (ADA), and Florida Statutes Chapter 464 (Occupational Therapy).</w:t>
      </w:r>
    </w:p>
    <w:p>
      <w:pPr>
        <w:numPr>
          <w:ilvl w:val="0"/>
          <w:numId w:val="1001"/>
        </w:numPr>
        <w:pStyle w:val="Compact"/>
      </w:pPr>
      <w:r>
        <w:rPr>
          <w:bCs/>
          <w:b/>
        </w:rPr>
        <w:t xml:space="preserve">Performance Standards:</w:t>
      </w:r>
      <w:r>
        <w:t xml:space="preserve"> </w:t>
      </w:r>
      <w:r>
        <w:t xml:space="preserve">The Occupational Therapist services shall be rendered in a professional, timely, and patient-centered manner. Clinical documentation, progress notes, and outcome reports must be submitted to the Buyer within 48 hours of each treatment session. Failure to meet documentation deadlines for three consecutive weeks shall constitute a material breach of this Purchase Order.</w:t>
      </w:r>
    </w:p>
    <w:p>
      <w:pPr>
        <w:numPr>
          <w:ilvl w:val="0"/>
          <w:numId w:val="1001"/>
        </w:numPr>
        <w:pStyle w:val="Compact"/>
      </w:pPr>
      <w:r>
        <w:rPr>
          <w:bCs/>
          <w:b/>
        </w:rPr>
        <w:t xml:space="preserve">Payment Schedule:</w:t>
      </w:r>
      <w:r>
        <w:t xml:space="preserve"> </w:t>
      </w:r>
      <w:r>
        <w:t xml:space="preserve">Invoices shall be submitted monthly by the 5th business day. Payment is due within thirty (30) calendar days of the Buyer's receipt of a valid invoice. Late payments shall accrue interest at a rate of 1.5% per month, in accordance with Florida commercial law. All payments shall be made in United States Dollars via ACH transfer to the account designated by the Seller.</w:t>
      </w:r>
    </w:p>
    <w:p>
      <w:pPr>
        <w:numPr>
          <w:ilvl w:val="0"/>
          <w:numId w:val="1001"/>
        </w:numPr>
        <w:pStyle w:val="Compact"/>
      </w:pPr>
      <w:r>
        <w:rPr>
          <w:bCs/>
          <w:b/>
        </w:rPr>
        <w:t xml:space="preserve">Insurance Requirements:</w:t>
      </w:r>
      <w:r>
        <w:t xml:space="preserve"> </w:t>
      </w:r>
      <w:r>
        <w:t xml:space="preserve">The Seller must maintain, at its own expense, professional liability (malpractice) insurance with a minimum coverage of $2,000,000 per occurrence and $5,000,000 aggregate, as well as general liability insurance of $1,000,000. Certificates of insurance naming the Buyer as an additional insured must be provided prior to the commencement of services in the United States Miami service area.</w:t>
      </w:r>
    </w:p>
    <w:p>
      <w:pPr>
        <w:numPr>
          <w:ilvl w:val="0"/>
          <w:numId w:val="1001"/>
        </w:numPr>
        <w:pStyle w:val="Compact"/>
      </w:pPr>
      <w:r>
        <w:rPr>
          <w:bCs/>
          <w:b/>
        </w:rPr>
        <w:t xml:space="preserve">Termination:</w:t>
      </w:r>
      <w:r>
        <w:t xml:space="preserve"> </w:t>
      </w:r>
      <w:r>
        <w:t xml:space="preserve">Either party may terminate this Purchase Order with sixty (60) days' written notice. The Buyer may terminate immediately for cause, including but not limited to: loss of Occupational Therapist licensure, gross negligence, violation of patient confidentiality, or failure to meet contractual performance standards. Upon termination, the Seller shall be compensated for all services rendered through the effective date of termination.</w:t>
      </w:r>
    </w:p>
    <w:p>
      <w:pPr>
        <w:numPr>
          <w:ilvl w:val="0"/>
          <w:numId w:val="1001"/>
        </w:numPr>
        <w:pStyle w:val="Compact"/>
      </w:pPr>
      <w:r>
        <w:rPr>
          <w:bCs/>
          <w:b/>
        </w:rPr>
        <w:t xml:space="preserve">Confidentiality:</w:t>
      </w:r>
      <w:r>
        <w:t xml:space="preserve"> </w:t>
      </w:r>
      <w:r>
        <w:t xml:space="preserve">All patient records, clinical data, and proprietary treatment methodologies exchanged under this Purchase Order shall be treated as strictly confidential. The Occupational Therapist personnel are bound by non-disclosure obligations that survive the termination of this agreement for a period of five (5) years.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United States. Any disputes arising hereunder shall be resolved through binding arbitration in Miami-Dade County, Florida, in accordance with the rules of the American Arbitration Association.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pandemics, government-mandated closures, or acts of war affecting the United States Miami region.</w:t>
      </w:r>
    </w:p>
    <w:p>
      <w:pPr>
        <w:numPr>
          <w:ilvl w:val="0"/>
          <w:numId w:val="1001"/>
        </w:numPr>
        <w:pStyle w:val="Compact"/>
      </w:pPr>
      <w:r>
        <w:rPr>
          <w:bCs/>
          <w:b/>
        </w:rPr>
        <w:t xml:space="preserve">Entire Agreement:</w:t>
      </w:r>
      <w:r>
        <w:t xml:space="preserve"> </w:t>
      </w:r>
      <w:r>
        <w:t xml:space="preserve">This Purchase Order, together with any attached exhibits and the Master Service Agreement dated January 15, 2025, constitutes the entire agreement between the parties regarding the procurement of Occupational Therapist services. No modification shall be valid unless made in writing and signed by authorized representatives of both parties.</w:t>
      </w:r>
    </w:p>
    <w:bookmarkEnd w:id="26"/>
    <w:p>
      <w:pPr>
        <w:pStyle w:val="FirstParagraph"/>
      </w:pPr>
      <w:r>
        <w:rPr>
          <w:bCs/>
          <w:b/>
        </w:rPr>
        <w:t xml:space="preserve">Authorized Signature – Buyer</w:t>
      </w:r>
    </w:p>
    <w:p>
      <w:pPr>
        <w:pStyle w:val="BodyText"/>
      </w:pPr>
      <w:r>
        <w:t xml:space="preserve">Name: Maria Delgado</w:t>
      </w:r>
    </w:p>
    <w:p>
      <w:pPr>
        <w:pStyle w:val="BodyText"/>
      </w:pPr>
      <w:r>
        <w:t xml:space="preserve">Title: Procurement Director</w:t>
      </w:r>
    </w:p>
    <w:p>
      <w:pPr>
        <w:pStyle w:val="BodyText"/>
      </w:pPr>
      <w:r>
        <w:t xml:space="preserve">South Florida Rehabilitation &amp; Wellness Center, LLC</w:t>
      </w:r>
    </w:p>
    <w:p>
      <w:pPr>
        <w:pStyle w:val="BodyText"/>
      </w:pPr>
      <w:r>
        <w:t xml:space="preserve">Date: ____________________</w:t>
      </w:r>
    </w:p>
    <w:p>
      <w:pPr>
        <w:pStyle w:val="BodyText"/>
      </w:pPr>
      <w:r>
        <w:rPr>
          <w:bCs/>
          <w:b/>
        </w:rPr>
        <w:t xml:space="preserve">Authorized Signature – Seller</w:t>
      </w:r>
    </w:p>
    <w:p>
      <w:pPr>
        <w:pStyle w:val="BodyText"/>
      </w:pPr>
      <w:r>
        <w:t xml:space="preserve">Name: Dr. James Whitfield</w:t>
      </w:r>
    </w:p>
    <w:p>
      <w:pPr>
        <w:pStyle w:val="BodyText"/>
      </w:pPr>
      <w:r>
        <w:t xml:space="preserve">Title: Practice Manager</w:t>
      </w:r>
    </w:p>
    <w:p>
      <w:pPr>
        <w:pStyle w:val="BodyText"/>
      </w:pPr>
      <w:r>
        <w:t xml:space="preserve">BrightPath Occupational Therapy Group, Inc.</w:t>
      </w:r>
    </w:p>
    <w:p>
      <w:pPr>
        <w:pStyle w:val="BodyText"/>
      </w:pPr>
      <w:r>
        <w:t xml:space="preserve">Date: ____________________</w:t>
      </w:r>
    </w:p>
    <w:p>
      <w:pPr>
        <w:pStyle w:val="BodyText"/>
      </w:pPr>
      <w:r>
        <w:t xml:space="preserve">This Purchase Order (PO No. MIA-OT-2025-00472) is issued for the procurement of Occupational Therapist professional services to be delivered in the United States Miami metropolitan area. This document is valid for acceptance within fifteen (15) calendar days of the date of issue. For questions regarding this Purchase Order, contact the Procurement Office at (305) 555-0182 or procurement@sfrehabwellness.com.</w:t>
      </w:r>
    </w:p>
    <w:p>
      <w:pPr>
        <w:pStyle w:val="BodyText"/>
      </w:pPr>
      <w:r>
        <w:t xml:space="preserve">© 2025 South Florida Rehabilitation &amp; Wellness Center, LLC. All rights reserved. Document generated in Miami, Florida,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Miami, United States</dc:title>
  <dc:creator/>
  <dc:language>en</dc:language>
  <cp:keywords/>
  <dcterms:created xsi:type="dcterms:W3CDTF">2026-10-10T05:10:01Z</dcterms:created>
  <dcterms:modified xsi:type="dcterms:W3CDTF">2026-10-10T05:10:01Z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