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Oceanographer</w:t>
      </w:r>
      <w:r>
        <w:t xml:space="preserve"> </w:t>
      </w:r>
      <w:r>
        <w:t xml:space="preserve">Equipment</w:t>
      </w:r>
      <w:r>
        <w:t xml:space="preserve"> </w:t>
      </w:r>
      <w:r>
        <w:t xml:space="preserve">-</w:t>
      </w:r>
      <w:r>
        <w:t xml:space="preserve"> </w:t>
      </w:r>
      <w:r>
        <w:t xml:space="preserve">Germany</w:t>
      </w:r>
      <w:r>
        <w:t xml:space="preserve"> </w:t>
      </w:r>
      <w:r>
        <w:t xml:space="preserve">Frankfurt</w:t>
      </w:r>
    </w:p>
    <w:bookmarkStart w:id="20" w:name="purchase-order"/>
    <w:p>
      <w:pPr>
        <w:pStyle w:val="Heading1"/>
      </w:pPr>
      <w:r>
        <w:t xml:space="preserve">PURCHASE ORDER</w:t>
      </w:r>
    </w:p>
    <w:p>
      <w:pPr>
        <w:pStyle w:val="FirstParagraph"/>
      </w:pPr>
      <w:r>
        <w:rPr>
          <w:bCs/>
          <w:b/>
        </w:rPr>
        <w:t xml:space="preserve">Marine Research &amp; Oceanographic Solutions GmbH</w:t>
      </w:r>
    </w:p>
    <w:p>
      <w:pPr>
        <w:pStyle w:val="BodyText"/>
      </w:pPr>
      <w:r>
        <w:t xml:space="preserve">Wissenschaftsallee 42, 60325 Frankfurt am Main, Germany Frankfurt</w:t>
      </w:r>
    </w:p>
    <w:p>
      <w:pPr>
        <w:pStyle w:val="BodyText"/>
      </w:pPr>
      <w:r>
        <w:t xml:space="preserve">Phone: +49 69 8842 1100 | Email: procurement@marinesolutions-frankfurt.de</w:t>
      </w:r>
    </w:p>
    <w:p>
      <w:pPr>
        <w:pStyle w:val="BodyText"/>
      </w:pPr>
      <w:r>
        <w:t xml:space="preserve">USt-IdNr: DE 318 442 907</w:t>
      </w:r>
    </w:p>
    <w:bookmarkEnd w:id="20"/>
    <w:p>
      <w:pPr>
        <w:pStyle w:val="BodyText"/>
      </w:pPr>
      <w:r>
        <w:rPr>
          <w:bCs/>
          <w:b/>
        </w:rPr>
        <w:t xml:space="preserve">Purchase Order No.:</w:t>
      </w:r>
      <w:r>
        <w:t xml:space="preserve"> </w:t>
      </w:r>
      <w:r>
        <w:t xml:space="preserve">PO-2025-OFK-00847</w:t>
      </w:r>
    </w:p>
    <w:p>
      <w:pPr>
        <w:pStyle w:val="BodyText"/>
      </w:pPr>
      <w:r>
        <w:rPr>
          <w:bCs/>
          <w:b/>
        </w:rPr>
        <w:t xml:space="preserve">Date of Issue:</w:t>
      </w:r>
      <w:r>
        <w:t xml:space="preserve"> </w:t>
      </w:r>
      <w:r>
        <w:t xml:space="preserve">14 June 2025</w:t>
      </w:r>
    </w:p>
    <w:p>
      <w:pPr>
        <w:pStyle w:val="BodyText"/>
      </w:pPr>
      <w:r>
        <w:rPr>
          <w:bCs/>
          <w:b/>
        </w:rPr>
        <w:t xml:space="preserve">Delivery Deadline:</w:t>
      </w:r>
      <w:r>
        <w:t xml:space="preserve"> </w:t>
      </w:r>
      <w:r>
        <w:t xml:space="preserve">05 August 2025</w:t>
      </w:r>
    </w:p>
    <w:p>
      <w:pPr>
        <w:pStyle w:val="BodyText"/>
      </w:pPr>
      <w:r>
        <w:rPr>
          <w:bCs/>
          <w:b/>
        </w:rPr>
        <w:t xml:space="preserve">Payment Terms:</w:t>
      </w:r>
      <w:r>
        <w:t xml:space="preserve"> </w:t>
      </w:r>
      <w:r>
        <w:t xml:space="preserve">Net 30 Days</w:t>
      </w:r>
    </w:p>
    <w:bookmarkStart w:id="21" w:name="buyer-information"/>
    <w:p>
      <w:pPr>
        <w:pStyle w:val="Heading2"/>
      </w:pPr>
      <w:r>
        <w:t xml:space="preserve">1. Buyer Information</w:t>
      </w:r>
    </w:p>
    <w:p>
      <w:pPr>
        <w:pStyle w:val="FirstParagraph"/>
      </w:pPr>
      <w:r>
        <w:t xml:space="preserve">This</w:t>
      </w:r>
      <w:r>
        <w:t xml:space="preserve"> </w:t>
      </w:r>
      <w:r>
        <w:t xml:space="preserve">Purchase Order</w:t>
      </w:r>
      <w:r>
        <w:t xml:space="preserve"> </w:t>
      </w:r>
      <w:r>
        <w:t xml:space="preserve">is issued by</w:t>
      </w:r>
      <w:r>
        <w:t xml:space="preserve"> </w:t>
      </w:r>
      <w:r>
        <w:rPr>
          <w:bCs/>
          <w:b/>
        </w:rPr>
        <w:t xml:space="preserve">Marine Research &amp; Oceanographic Solutions GmbH</w:t>
      </w:r>
      <w:r>
        <w:t xml:space="preserve">, a registered entity operating out of</w:t>
      </w:r>
      <w:r>
        <w:t xml:space="preserve"> </w:t>
      </w:r>
      <w:r>
        <w:t xml:space="preserve">Germany Frankfurt</w:t>
      </w:r>
      <w:r>
        <w:t xml:space="preserve">, for the procurement of specialized oceanographic instrumentation and field equipment. The primary end-user of all items listed herein is</w:t>
      </w:r>
      <w:r>
        <w:t xml:space="preserve"> </w:t>
      </w:r>
      <w:r>
        <w:rPr>
          <w:bCs/>
          <w:b/>
        </w:rPr>
        <w:t xml:space="preserve">Dr. Helena Voss, Senior Oceanographer</w:t>
      </w:r>
      <w:r>
        <w:t xml:space="preserve">, who will deploy and utilize the equipment in coastal and deep-water research programs conducted from the</w:t>
      </w:r>
      <w:r>
        <w:t xml:space="preserve"> </w:t>
      </w:r>
      <w:r>
        <w:t xml:space="preserve">Germany Frankfurt</w:t>
      </w:r>
      <w:r>
        <w:t xml:space="preserve"> </w:t>
      </w:r>
      <w:r>
        <w:t xml:space="preserve">headquarters laboratory and associated field stations along the North Sea and Baltic Sea coastlines.</w:t>
      </w:r>
    </w:p>
    <w:bookmarkEnd w:id="21"/>
    <w:bookmarkStart w:id="22" w:name="supplier-information"/>
    <w:p>
      <w:pPr>
        <w:pStyle w:val="Heading2"/>
      </w:pPr>
      <w:r>
        <w:t xml:space="preserve">2. Supplier Information</w:t>
      </w:r>
    </w:p>
    <w:p>
      <w:pPr>
        <w:pStyle w:val="FirstParagraph"/>
      </w:pPr>
      <w:r>
        <w:rPr>
          <w:bCs/>
          <w:b/>
        </w:rPr>
        <w:t xml:space="preserve">Supplier:</w:t>
      </w:r>
      <w:r>
        <w:t xml:space="preserve"> </w:t>
      </w:r>
      <w:r>
        <w:t xml:space="preserve">DeepSea Instruments AG</w:t>
      </w:r>
      <w:r>
        <w:br/>
      </w:r>
      <w:r>
        <w:rPr>
          <w:bCs/>
          <w:b/>
        </w:rPr>
        <w:t xml:space="preserve">Address:</w:t>
      </w:r>
      <w:r>
        <w:t xml:space="preserve"> </w:t>
      </w:r>
      <w:r>
        <w:t xml:space="preserve">Hafenstraße 118, 20457 Hamburg, Germany</w:t>
      </w:r>
      <w:r>
        <w:br/>
      </w:r>
      <w:r>
        <w:rPr>
          <w:bCs/>
          <w:b/>
        </w:rPr>
        <w:t xml:space="preserve">Contact:</w:t>
      </w:r>
      <w:r>
        <w:t xml:space="preserve"> </w:t>
      </w:r>
      <w:r>
        <w:t xml:space="preserve">Mr. Klaus Reinhardt, Sales Director</w:t>
      </w:r>
      <w:r>
        <w:br/>
      </w:r>
      <w:r>
        <w:rPr>
          <w:bCs/>
          <w:b/>
        </w:rPr>
        <w:t xml:space="preserve">Email:</w:t>
      </w:r>
      <w:r>
        <w:t xml:space="preserve"> </w:t>
      </w:r>
      <w:r>
        <w:t xml:space="preserve">k.reinhardt@deepsea-instruments.de</w:t>
      </w:r>
      <w:r>
        <w:br/>
      </w:r>
      <w:r>
        <w:rPr>
          <w:bCs/>
          <w:b/>
        </w:rPr>
        <w:t xml:space="preserve">Phone:</w:t>
      </w:r>
      <w:r>
        <w:t xml:space="preserve"> </w:t>
      </w:r>
      <w:r>
        <w:t xml:space="preserve">+49 40 3321 7700</w:t>
      </w:r>
    </w:p>
    <w:bookmarkEnd w:id="22"/>
    <w:bookmarkStart w:id="23" w:name="itemized-purchase-order-details"/>
    <w:p>
      <w:pPr>
        <w:pStyle w:val="Heading2"/>
      </w:pPr>
      <w:r>
        <w:t xml:space="preserve">3. Itemized Purchase Order Details</w:t>
      </w:r>
    </w:p>
    <w:p>
      <w:pPr>
        <w:pStyle w:val="FirstParagraph"/>
      </w:pPr>
      <w:r>
        <w:t xml:space="preserve">The following</w:t>
      </w:r>
      <w:r>
        <w:t xml:space="preserve"> </w:t>
      </w:r>
      <w:r>
        <w:t xml:space="preserve">Purchase Order</w:t>
      </w:r>
      <w:r>
        <w:t xml:space="preserve"> </w:t>
      </w:r>
      <w:r>
        <w:t xml:space="preserve">line items have been approved for acquisition to support the ongoing oceanographic research program led by the assigned</w:t>
      </w:r>
      <w:r>
        <w:t xml:space="preserve"> </w:t>
      </w:r>
      <w:r>
        <w:t xml:space="preserve">Oceanographer</w:t>
      </w:r>
      <w:r>
        <w:t xml:space="preserve"> </w:t>
      </w:r>
      <w:r>
        <w:t xml:space="preserve">at our</w:t>
      </w:r>
      <w:r>
        <w:t xml:space="preserve"> </w:t>
      </w:r>
      <w:r>
        <w:t xml:space="preserve">Germany Frankfurt</w:t>
      </w:r>
      <w:r>
        <w:t xml:space="preserve"> </w:t>
      </w:r>
      <w:r>
        <w:t xml:space="preserve">facility:</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Line</w:t>
            </w:r>
          </w:p>
        </w:tc>
        <w:tc>
          <w:tcPr/>
          <w:p>
            <w:pPr>
              <w:pStyle w:val="Compact"/>
              <w:jc w:val="left"/>
            </w:pPr>
            <w:r>
              <w:t xml:space="preserve">Item Description</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Line Total (EUR)</w:t>
            </w:r>
          </w:p>
        </w:tc>
      </w:tr>
      <w:tr>
        <w:tc>
          <w:tcPr/>
          <w:p>
            <w:pPr>
              <w:pStyle w:val="Compact"/>
              <w:jc w:val="left"/>
            </w:pPr>
            <w:r>
              <w:t xml:space="preserve">1</w:t>
            </w:r>
          </w:p>
        </w:tc>
        <w:tc>
          <w:tcPr/>
          <w:p>
            <w:pPr>
              <w:pStyle w:val="Compact"/>
              <w:jc w:val="left"/>
            </w:pPr>
            <w:r>
              <w:t xml:space="preserve">CTD (Conductivity, Temperature, Depth) Profiler – Sea-Bird SBE 9119plus, calibrated for deep-ocean deployment by the Oceanographer</w:t>
            </w:r>
          </w:p>
        </w:tc>
        <w:tc>
          <w:tcPr/>
          <w:p>
            <w:pPr>
              <w:pStyle w:val="Compact"/>
              <w:jc w:val="left"/>
            </w:pPr>
            <w:r>
              <w:t xml:space="preserve">2</w:t>
            </w:r>
          </w:p>
        </w:tc>
        <w:tc>
          <w:tcPr/>
          <w:p>
            <w:pPr>
              <w:pStyle w:val="Compact"/>
              <w:jc w:val="left"/>
            </w:pPr>
            <w:r>
              <w:t xml:space="preserve">18,450.00</w:t>
            </w:r>
          </w:p>
        </w:tc>
        <w:tc>
          <w:tcPr/>
          <w:p>
            <w:pPr>
              <w:pStyle w:val="Compact"/>
              <w:jc w:val="left"/>
            </w:pPr>
            <w:r>
              <w:t xml:space="preserve">36,900.00</w:t>
            </w:r>
          </w:p>
        </w:tc>
      </w:tr>
      <w:tr>
        <w:tc>
          <w:tcPr/>
          <w:p>
            <w:pPr>
              <w:pStyle w:val="Compact"/>
              <w:jc w:val="left"/>
            </w:pPr>
            <w:r>
              <w:t xml:space="preserve">2</w:t>
            </w:r>
          </w:p>
        </w:tc>
        <w:tc>
          <w:tcPr/>
          <w:p>
            <w:pPr>
              <w:pStyle w:val="Compact"/>
              <w:jc w:val="left"/>
            </w:pPr>
            <w:r>
              <w:t xml:space="preserve">Autonomous Underwater Vehicle (AUV) – Bluefin 12, 12 m depth-rated, with full sensor payload for Oceanographer field surveys</w:t>
            </w:r>
          </w:p>
        </w:tc>
        <w:tc>
          <w:tcPr/>
          <w:p>
            <w:pPr>
              <w:pStyle w:val="Compact"/>
              <w:jc w:val="left"/>
            </w:pPr>
            <w:r>
              <w:t xml:space="preserve">1</w:t>
            </w:r>
          </w:p>
        </w:tc>
        <w:tc>
          <w:tcPr/>
          <w:p>
            <w:pPr>
              <w:pStyle w:val="Compact"/>
              <w:jc w:val="left"/>
            </w:pPr>
            <w:r>
              <w:t xml:space="preserve">142,000.00</w:t>
            </w:r>
          </w:p>
        </w:tc>
        <w:tc>
          <w:tcPr/>
          <w:p>
            <w:pPr>
              <w:pStyle w:val="Compact"/>
              <w:jc w:val="left"/>
            </w:pPr>
            <w:r>
              <w:t xml:space="preserve">142,000.00</w:t>
            </w:r>
          </w:p>
        </w:tc>
      </w:tr>
      <w:tr>
        <w:tc>
          <w:tcPr/>
          <w:p>
            <w:pPr>
              <w:pStyle w:val="Compact"/>
              <w:jc w:val="left"/>
            </w:pPr>
            <w:r>
              <w:t xml:space="preserve">3</w:t>
            </w:r>
          </w:p>
        </w:tc>
        <w:tc>
          <w:tcPr/>
          <w:p>
            <w:pPr>
              <w:pStyle w:val="Compact"/>
              <w:jc w:val="left"/>
            </w:pPr>
            <w:r>
              <w:t xml:space="preserve">Multi-Beam Echo Sounder – Kongsberg EM 304, 300 kHz, for bathymetric mapping by the Oceanographer</w:t>
            </w:r>
          </w:p>
        </w:tc>
        <w:tc>
          <w:tcPr/>
          <w:p>
            <w:pPr>
              <w:pStyle w:val="Compact"/>
              <w:jc w:val="left"/>
            </w:pPr>
            <w:r>
              <w:t xml:space="preserve">1</w:t>
            </w:r>
          </w:p>
        </w:tc>
        <w:tc>
          <w:tcPr/>
          <w:p>
            <w:pPr>
              <w:pStyle w:val="Compact"/>
              <w:jc w:val="left"/>
            </w:pPr>
            <w:r>
              <w:t xml:space="preserve">96,500.00</w:t>
            </w:r>
          </w:p>
        </w:tc>
        <w:tc>
          <w:tcPr/>
          <w:p>
            <w:pPr>
              <w:pStyle w:val="Compact"/>
              <w:jc w:val="left"/>
            </w:pPr>
            <w:r>
              <w:t xml:space="preserve">96,500.00</w:t>
            </w:r>
          </w:p>
        </w:tc>
      </w:tr>
      <w:tr>
        <w:tc>
          <w:tcPr/>
          <w:p>
            <w:pPr>
              <w:pStyle w:val="Compact"/>
              <w:jc w:val="left"/>
            </w:pPr>
            <w:r>
              <w:t xml:space="preserve">4</w:t>
            </w:r>
          </w:p>
        </w:tc>
        <w:tc>
          <w:tcPr/>
          <w:p>
            <w:pPr>
              <w:pStyle w:val="Compact"/>
              <w:jc w:val="left"/>
            </w:pPr>
            <w:r>
              <w:t xml:space="preserve">Acoustic Doppler Current Profiler (ADCP) – Nortek Aquadopp 300 kHz, mooring and shipboard configuration</w:t>
            </w:r>
          </w:p>
        </w:tc>
        <w:tc>
          <w:tcPr/>
          <w:p>
            <w:pPr>
              <w:pStyle w:val="Compact"/>
              <w:jc w:val="left"/>
            </w:pPr>
            <w:r>
              <w:t xml:space="preserve">3</w:t>
            </w:r>
          </w:p>
        </w:tc>
        <w:tc>
          <w:tcPr/>
          <w:p>
            <w:pPr>
              <w:pStyle w:val="Compact"/>
              <w:jc w:val="left"/>
            </w:pPr>
            <w:r>
              <w:t xml:space="preserve">22,800.00</w:t>
            </w:r>
          </w:p>
        </w:tc>
        <w:tc>
          <w:tcPr/>
          <w:p>
            <w:pPr>
              <w:pStyle w:val="Compact"/>
              <w:jc w:val="left"/>
            </w:pPr>
            <w:r>
              <w:t xml:space="preserve">68,400.00</w:t>
            </w:r>
          </w:p>
        </w:tc>
      </w:tr>
      <w:tr>
        <w:tc>
          <w:tcPr/>
          <w:p>
            <w:pPr>
              <w:pStyle w:val="Compact"/>
              <w:jc w:val="left"/>
            </w:pPr>
            <w:r>
              <w:t xml:space="preserve">5</w:t>
            </w:r>
          </w:p>
        </w:tc>
        <w:tc>
          <w:tcPr/>
          <w:p>
            <w:pPr>
              <w:pStyle w:val="Compact"/>
              <w:jc w:val="left"/>
            </w:pPr>
            <w:r>
              <w:t xml:space="preserve">Water Sampler – Niskin Rosette, 24 x 10 L bottles, titanium frame, for chemical analysis by the Oceanographer</w:t>
            </w:r>
          </w:p>
        </w:tc>
        <w:tc>
          <w:tcPr/>
          <w:p>
            <w:pPr>
              <w:pStyle w:val="Compact"/>
              <w:jc w:val="left"/>
            </w:pPr>
            <w:r>
              <w:t xml:space="preserve">2</w:t>
            </w:r>
          </w:p>
        </w:tc>
        <w:tc>
          <w:tcPr/>
          <w:p>
            <w:pPr>
              <w:pStyle w:val="Compact"/>
              <w:jc w:val="left"/>
            </w:pPr>
            <w:r>
              <w:t xml:space="preserve">14,200.00</w:t>
            </w:r>
          </w:p>
        </w:tc>
        <w:tc>
          <w:tcPr/>
          <w:p>
            <w:pPr>
              <w:pStyle w:val="Compact"/>
              <w:jc w:val="left"/>
            </w:pPr>
            <w:r>
              <w:t xml:space="preserve">28,400.00</w:t>
            </w:r>
          </w:p>
        </w:tc>
      </w:tr>
      <w:tr>
        <w:tc>
          <w:tcPr/>
          <w:p>
            <w:pPr>
              <w:pStyle w:val="Compact"/>
              <w:jc w:val="left"/>
            </w:pPr>
            <w:r>
              <w:t xml:space="preserve">6</w:t>
            </w:r>
          </w:p>
        </w:tc>
        <w:tc>
          <w:tcPr/>
          <w:p>
            <w:pPr>
              <w:pStyle w:val="Compact"/>
              <w:jc w:val="left"/>
            </w:pPr>
            <w:r>
              <w:t xml:space="preserve">Subsea Data Logger – Teledyne Webb, 6000 m rated, with 12 sensor channels for long-term Oceanographer monitoring</w:t>
            </w:r>
          </w:p>
        </w:tc>
        <w:tc>
          <w:tcPr/>
          <w:p>
            <w:pPr>
              <w:pStyle w:val="Compact"/>
              <w:jc w:val="left"/>
            </w:pPr>
            <w:r>
              <w:t xml:space="preserve">4</w:t>
            </w:r>
          </w:p>
        </w:tc>
        <w:tc>
          <w:tcPr/>
          <w:p>
            <w:pPr>
              <w:pStyle w:val="Compact"/>
              <w:jc w:val="left"/>
            </w:pPr>
            <w:r>
              <w:t xml:space="preserve">8,750.00</w:t>
            </w:r>
          </w:p>
        </w:tc>
        <w:tc>
          <w:tcPr/>
          <w:p>
            <w:pPr>
              <w:pStyle w:val="Compact"/>
              <w:jc w:val="left"/>
            </w:pPr>
            <w:r>
              <w:t xml:space="preserve">35,000.00</w:t>
            </w:r>
          </w:p>
        </w:tc>
      </w:tr>
      <w:tr>
        <w:tc>
          <w:tcPr/>
          <w:p>
            <w:pPr>
              <w:pStyle w:val="Compact"/>
              <w:jc w:val="left"/>
            </w:pPr>
            <w:r>
              <w:t xml:space="preserve">7</w:t>
            </w:r>
          </w:p>
        </w:tc>
        <w:tc>
          <w:tcPr/>
          <w:p>
            <w:pPr>
              <w:pStyle w:val="Compact"/>
              <w:jc w:val="left"/>
            </w:pPr>
            <w:r>
              <w:t xml:space="preserve">Calibration Standards &amp; Reference Gas Cylinders – NIST-traceable, annual calibration kit for Oceanographer lab use in Germany Frankfurt</w:t>
            </w:r>
          </w:p>
        </w:tc>
        <w:tc>
          <w:tcPr/>
          <w:p>
            <w:pPr>
              <w:pStyle w:val="Compact"/>
              <w:jc w:val="left"/>
            </w:pPr>
            <w:r>
              <w:t xml:space="preserve">1</w:t>
            </w:r>
          </w:p>
        </w:tc>
        <w:tc>
          <w:tcPr/>
          <w:p>
            <w:pPr>
              <w:pStyle w:val="Compact"/>
              <w:jc w:val="left"/>
            </w:pPr>
            <w:r>
              <w:t xml:space="preserve">6,300.00</w:t>
            </w:r>
          </w:p>
        </w:tc>
        <w:tc>
          <w:tcPr/>
          <w:p>
            <w:pPr>
              <w:pStyle w:val="Compact"/>
              <w:jc w:val="left"/>
            </w:pPr>
            <w:r>
              <w:t xml:space="preserve">6,300.00</w:t>
            </w:r>
          </w:p>
        </w:tc>
      </w:tr>
      <w:tr>
        <w:tc>
          <w:tcPr/>
          <w:p>
            <w:pPr>
              <w:pStyle w:val="Compact"/>
              <w:jc w:val="left"/>
            </w:pPr>
            <w:r>
              <w:t xml:space="preserve">8</w:t>
            </w:r>
          </w:p>
        </w:tc>
        <w:tc>
          <w:tcPr/>
          <w:p>
            <w:pPr>
              <w:pStyle w:val="Compact"/>
              <w:jc w:val="left"/>
            </w:pPr>
            <w:r>
              <w:t xml:space="preserve">Protective Transport Cases &amp; Field Deployment Kits – Custom-molded, marine-grade, for all instruments listed above</w:t>
            </w:r>
          </w:p>
        </w:tc>
        <w:tc>
          <w:tcPr/>
          <w:p>
            <w:pPr>
              <w:pStyle w:val="Compact"/>
              <w:jc w:val="left"/>
            </w:pPr>
            <w:r>
              <w:t xml:space="preserve">1</w:t>
            </w:r>
          </w:p>
        </w:tc>
        <w:tc>
          <w:tcPr/>
          <w:p>
            <w:pPr>
              <w:pStyle w:val="Compact"/>
              <w:jc w:val="left"/>
            </w:pPr>
            <w:r>
              <w:t xml:space="preserve">12,800.00</w:t>
            </w:r>
          </w:p>
        </w:tc>
        <w:tc>
          <w:tcPr/>
          <w:p>
            <w:pPr>
              <w:pStyle w:val="Compact"/>
              <w:jc w:val="left"/>
            </w:pPr>
            <w:r>
              <w:t xml:space="preserve">12,800.00</w:t>
            </w:r>
          </w:p>
        </w:tc>
      </w:tr>
      <w:tr>
        <w:tc>
          <w:tcPr>
            <w:gridSpan w:val="4"/>
          </w:tcPr>
          <w:p>
            <w:pPr>
              <w:pStyle w:val="Compact"/>
              <w:jc w:val="left"/>
            </w:pPr>
            <w:r>
              <w:t xml:space="preserve">Subtotal</w:t>
            </w:r>
          </w:p>
        </w:tc>
        <w:tc>
          <w:tcPr/>
          <w:p>
            <w:pPr>
              <w:pStyle w:val="Compact"/>
              <w:jc w:val="left"/>
            </w:pPr>
            <w:r>
              <w:t xml:space="preserve">426,300.00</w:t>
            </w:r>
          </w:p>
        </w:tc>
      </w:tr>
      <w:tr>
        <w:tc>
          <w:tcPr>
            <w:gridSpan w:val="4"/>
          </w:tcPr>
          <w:p>
            <w:pPr>
              <w:pStyle w:val="Compact"/>
              <w:jc w:val="left"/>
            </w:pPr>
            <w:r>
              <w:t xml:space="preserve">VAT (19% – Germany)</w:t>
            </w:r>
          </w:p>
        </w:tc>
        <w:tc>
          <w:tcPr/>
          <w:p>
            <w:pPr>
              <w:pStyle w:val="Compact"/>
              <w:jc w:val="left"/>
            </w:pPr>
            <w:r>
              <w:t xml:space="preserve">80,997.00</w:t>
            </w:r>
          </w:p>
        </w:tc>
      </w:tr>
      <w:tr>
        <w:tc>
          <w:tcPr>
            <w:gridSpan w:val="4"/>
          </w:tcPr>
          <w:p>
            <w:pPr>
              <w:pStyle w:val="Compact"/>
              <w:jc w:val="left"/>
            </w:pPr>
            <w:r>
              <w:rPr>
                <w:bCs/>
                <w:b/>
              </w:rPr>
              <w:t xml:space="preserve">Purchase Order Grand Total (EUR)</w:t>
            </w:r>
          </w:p>
        </w:tc>
        <w:tc>
          <w:tcPr/>
          <w:p>
            <w:pPr>
              <w:pStyle w:val="Compact"/>
              <w:jc w:val="left"/>
            </w:pPr>
            <w:r>
              <w:rPr>
                <w:bCs/>
                <w:b/>
              </w:rPr>
              <w:t xml:space="preserve">507,297.00</w:t>
            </w:r>
          </w:p>
        </w:tc>
      </w:tr>
    </w:tbl>
    <w:bookmarkEnd w:id="23"/>
    <w:bookmarkStart w:id="24" w:name="delivery-logistics"/>
    <w:p>
      <w:pPr>
        <w:pStyle w:val="Heading2"/>
      </w:pPr>
      <w:r>
        <w:t xml:space="preserve">4. Delivery &amp; Logistics</w:t>
      </w:r>
    </w:p>
    <w:p>
      <w:pPr>
        <w:pStyle w:val="FirstParagraph"/>
      </w:pPr>
      <w:r>
        <w:t xml:space="preserve">All items under this</w:t>
      </w:r>
      <w:r>
        <w:t xml:space="preserve"> </w:t>
      </w:r>
      <w:r>
        <w:t xml:space="preserve">Purchase Order</w:t>
      </w:r>
      <w:r>
        <w:t xml:space="preserve"> </w:t>
      </w:r>
      <w:r>
        <w:t xml:space="preserve">shall be delivered to the following address in</w:t>
      </w:r>
      <w:r>
        <w:t xml:space="preserve"> </w:t>
      </w:r>
      <w:r>
        <w:t xml:space="preserve">Germany Frankfurt</w:t>
      </w:r>
      <w:r>
        <w:t xml:space="preserve">:</w:t>
      </w:r>
    </w:p>
    <w:p>
      <w:pPr>
        <w:pStyle w:val="BodyText"/>
      </w:pPr>
      <w:r>
        <w:rPr>
          <w:bCs/>
          <w:b/>
        </w:rPr>
        <w:t xml:space="preserve">Marine Research &amp; Oceanographic Solutions GmbH</w:t>
      </w:r>
      <w:r>
        <w:br/>
      </w:r>
      <w:r>
        <w:t xml:space="preserve">Warehouse &amp; Laboratory, Bay 3</w:t>
      </w:r>
      <w:r>
        <w:br/>
      </w:r>
      <w:r>
        <w:t xml:space="preserve">Wissenschaftsallee 42</w:t>
      </w:r>
      <w:r>
        <w:br/>
      </w:r>
      <w:r>
        <w:t xml:space="preserve">60325 Frankfurt am Main, Germany Frankfurt</w:t>
      </w:r>
      <w:r>
        <w:br/>
      </w:r>
      <w:r>
        <w:t xml:space="preserve">Attention: Dr. Helena Voss, Senior Oceanographer</w:t>
      </w:r>
    </w:p>
    <w:p>
      <w:pPr>
        <w:pStyle w:val="BodyText"/>
      </w:pPr>
      <w:r>
        <w:t xml:space="preserve">Delivery shall be made via insured freight (DDP – Delivered Duty Paid) in accordance with Incoterms 2020. The supplier is responsible for all packaging, crating, and insurance of the oceanographic instruments during transit to</w:t>
      </w:r>
      <w:r>
        <w:t xml:space="preserve"> </w:t>
      </w:r>
      <w:r>
        <w:t xml:space="preserve">Germany Frankfurt</w:t>
      </w:r>
      <w:r>
        <w:t xml:space="preserve">. A minimum of 10 business days' written notice of shipment is required so that the</w:t>
      </w:r>
      <w:r>
        <w:t xml:space="preserve"> </w:t>
      </w:r>
      <w:r>
        <w:t xml:space="preserve">Oceanographer</w:t>
      </w:r>
      <w:r>
        <w:t xml:space="preserve"> </w:t>
      </w:r>
      <w:r>
        <w:t xml:space="preserve">and receiving team can prepare the laboratory and calibration bay for incoming equipment.</w:t>
      </w:r>
    </w:p>
    <w:bookmarkEnd w:id="24"/>
    <w:bookmarkStart w:id="25" w:name="quality-assurance-acceptance"/>
    <w:p>
      <w:pPr>
        <w:pStyle w:val="Heading2"/>
      </w:pPr>
      <w:r>
        <w:t xml:space="preserve">5. Quality Assurance &amp; Acceptance</w:t>
      </w:r>
    </w:p>
    <w:p>
      <w:pPr>
        <w:pStyle w:val="FirstParagraph"/>
      </w:pPr>
      <w:r>
        <w:t xml:space="preserve">Upon arrival at the</w:t>
      </w:r>
      <w:r>
        <w:t xml:space="preserve"> </w:t>
      </w:r>
      <w:r>
        <w:t xml:space="preserve">Germany Frankfurt</w:t>
      </w:r>
      <w:r>
        <w:t xml:space="preserve"> </w:t>
      </w:r>
      <w:r>
        <w:t xml:space="preserve">facility, the designated</w:t>
      </w:r>
      <w:r>
        <w:t xml:space="preserve"> </w:t>
      </w:r>
      <w:r>
        <w:t xml:space="preserve">Oceanographer</w:t>
      </w:r>
      <w:r>
        <w:t xml:space="preserve"> </w:t>
      </w:r>
      <w:r>
        <w:t xml:space="preserve">shall conduct a 5-business-day inspection and functional test of each item listed in this</w:t>
      </w:r>
      <w:r>
        <w:t xml:space="preserve"> </w:t>
      </w:r>
      <w:r>
        <w:t xml:space="preserve">Purchase Order</w:t>
      </w:r>
      <w:r>
        <w:t xml:space="preserve">. All CTD profilers, ADCPs, and data loggers must pass factory calibration verification against NIST-traceable standards. The AUV and multi-beam echo sounder shall undergo a controlled shallow-water shakedown test at the North Sea test site within 15 calendar days of delivery. Any item failing acceptance testing shall be returned to the supplier at the supplier's expense, and the</w:t>
      </w:r>
      <w:r>
        <w:t xml:space="preserve"> </w:t>
      </w:r>
      <w:r>
        <w:t xml:space="preserve">Purchase Order</w:t>
      </w:r>
      <w:r>
        <w:t xml:space="preserve"> </w:t>
      </w:r>
      <w:r>
        <w:t xml:space="preserve">balance for the affected line item shall be credited or replaced within 30 days.</w:t>
      </w:r>
    </w:p>
    <w:bookmarkEnd w:id="25"/>
    <w:bookmarkStart w:id="26" w:name="payment-terms-conditions"/>
    <w:p>
      <w:pPr>
        <w:pStyle w:val="Heading2"/>
      </w:pPr>
      <w:r>
        <w:t xml:space="preserve">6. Payment Terms &amp; Conditions</w:t>
      </w:r>
    </w:p>
    <w:p>
      <w:pPr>
        <w:pStyle w:val="FirstParagraph"/>
      </w:pPr>
      <w:r>
        <w:t xml:space="preserve">Payment for this</w:t>
      </w:r>
      <w:r>
        <w:t xml:space="preserve"> </w:t>
      </w:r>
      <w:r>
        <w:t xml:space="preserve">Purchase Order</w:t>
      </w:r>
      <w:r>
        <w:t xml:space="preserve"> </w:t>
      </w:r>
      <w:r>
        <w:t xml:space="preserve">shall be made by bank transfer to the supplier's designated account within 30 calendar days of the date of the commercial invoice, provided that all acceptance criteria in Section 5 have been satisfied. The buyer's bank is Commerzbank AG, Frankfurt am Main, Germany Frankfurt. No interest shall accrue on timely payments. Late payments beyond the 30-day window shall incur interest at the statutory rate under § 288 of the German Civil Code (BGB). A 2% early-payment discount is available if payment is received within 10 days of invoice date.</w:t>
      </w:r>
    </w:p>
    <w:bookmarkEnd w:id="26"/>
    <w:bookmarkStart w:id="27" w:name="warranties-support"/>
    <w:p>
      <w:pPr>
        <w:pStyle w:val="Heading2"/>
      </w:pPr>
      <w:r>
        <w:t xml:space="preserve">7. Warranties &amp; Support</w:t>
      </w:r>
    </w:p>
    <w:p>
      <w:pPr>
        <w:pStyle w:val="FirstParagraph"/>
      </w:pPr>
      <w:r>
        <w:t xml:space="preserve">The supplier warrants that all oceanographic instruments delivered under this</w:t>
      </w:r>
      <w:r>
        <w:t xml:space="preserve"> </w:t>
      </w:r>
      <w:r>
        <w:t xml:space="preserve">Purchase Order</w:t>
      </w:r>
      <w:r>
        <w:t xml:space="preserve"> </w:t>
      </w:r>
      <w:r>
        <w:t xml:space="preserve">are new, free from defects in material and workmanship, and conform to the specifications agreed upon with the</w:t>
      </w:r>
      <w:r>
        <w:t xml:space="preserve"> </w:t>
      </w:r>
      <w:r>
        <w:t xml:space="preserve">Oceanographer</w:t>
      </w:r>
      <w:r>
        <w:t xml:space="preserve">. A minimum 24-month warranty from the date of acceptance applies to all electronic and mechanical components. The supplier shall provide on-site technical support at the</w:t>
      </w:r>
      <w:r>
        <w:t xml:space="preserve"> </w:t>
      </w:r>
      <w:r>
        <w:t xml:space="preserve">Germany Frankfurt</w:t>
      </w:r>
      <w:r>
        <w:t xml:space="preserve"> </w:t>
      </w:r>
      <w:r>
        <w:t xml:space="preserve">facility within 48 hours of a reported critical failure during the warranty period. Annual calibration services for the CTD profilers and ADCPs are included for the first three years of operation.</w:t>
      </w:r>
    </w:p>
    <w:bookmarkEnd w:id="27"/>
    <w:bookmarkStart w:id="28" w:name="governing-law-dispute-resolution"/>
    <w:p>
      <w:pPr>
        <w:pStyle w:val="Heading2"/>
      </w:pPr>
      <w:r>
        <w:t xml:space="preserve">8. Governing Law &amp; Dispute Resolution</w:t>
      </w:r>
    </w:p>
    <w:p>
      <w:pPr>
        <w:pStyle w:val="FirstParagraph"/>
      </w:pPr>
      <w:r>
        <w:t xml:space="preserve">This</w:t>
      </w:r>
      <w:r>
        <w:t xml:space="preserve"> </w:t>
      </w:r>
      <w:r>
        <w:t xml:space="preserve">Purchase Order</w:t>
      </w:r>
      <w:r>
        <w:t xml:space="preserve"> </w:t>
      </w:r>
      <w:r>
        <w:t xml:space="preserve">and all transactions arising hereunder shall be governed by and construed in accordance with the laws of the Federal Republic of Germany. Any disputes shall be resolved by the competent courts of Frankfurt am Main,</w:t>
      </w:r>
      <w:r>
        <w:t xml:space="preserve"> </w:t>
      </w:r>
      <w:r>
        <w:t xml:space="preserve">Germany Frankfurt</w:t>
      </w:r>
      <w:r>
        <w:t xml:space="preserve">. Both parties agree to attempt good-faith mediation before initiating formal litigation.</w:t>
      </w:r>
    </w:p>
    <w:bookmarkEnd w:id="28"/>
    <w:bookmarkStart w:id="29" w:name="authorization-signatures"/>
    <w:p>
      <w:pPr>
        <w:pStyle w:val="Heading2"/>
      </w:pPr>
      <w:r>
        <w:t xml:space="preserve">9. Authorization &amp; Signatures</w:t>
      </w:r>
    </w:p>
    <w:p>
      <w:pPr>
        <w:pStyle w:val="FirstParagraph"/>
      </w:pPr>
      <w:r>
        <w:t xml:space="preserve">This</w:t>
      </w:r>
      <w:r>
        <w:t xml:space="preserve"> </w:t>
      </w:r>
      <w:r>
        <w:t xml:space="preserve">Purchase Order</w:t>
      </w:r>
      <w:r>
        <w:t xml:space="preserve"> </w:t>
      </w:r>
      <w:r>
        <w:t xml:space="preserve">is authorized and binding upon execution by the undersigned representatives of both parties. The</w:t>
      </w:r>
      <w:r>
        <w:t xml:space="preserve"> </w:t>
      </w:r>
      <w:r>
        <w:t xml:space="preserve">Oceanographer</w:t>
      </w:r>
      <w:r>
        <w:t xml:space="preserve"> </w:t>
      </w:r>
      <w:r>
        <w:t xml:space="preserve">named herein confirms that the equipment specified is necessary for the approved research program and that the</w:t>
      </w:r>
      <w:r>
        <w:t xml:space="preserve"> </w:t>
      </w:r>
      <w:r>
        <w:t xml:space="preserve">Germany Frankfurt</w:t>
      </w:r>
      <w:r>
        <w:t xml:space="preserve"> </w:t>
      </w:r>
      <w:r>
        <w:t xml:space="preserve">facility is equipped to receive, store, and operate the instruments upon delivery.</w:t>
      </w:r>
    </w:p>
    <w:bookmarkEnd w:id="29"/>
    <w:p>
      <w:pPr>
        <w:pStyle w:val="BodyText"/>
      </w:pPr>
      <w:r>
        <w:rPr>
          <w:bCs/>
          <w:b/>
        </w:rPr>
        <w:t xml:space="preserve">For the Buyer:</w:t>
      </w:r>
    </w:p>
    <w:p>
      <w:pPr>
        <w:pStyle w:val="BodyText"/>
      </w:pPr>
      <w:r>
        <w:t xml:space="preserve">Marine Research &amp; Oceanographic Solutions GmbH</w:t>
      </w:r>
    </w:p>
    <w:p>
      <w:pPr>
        <w:pStyle w:val="BodyText"/>
      </w:pPr>
      <w:r>
        <w:rPr>
          <w:bCs/>
          <w:b/>
        </w:rPr>
        <w:t xml:space="preserve">Dr. Helena Voss</w:t>
      </w:r>
      <w:r>
        <w:br/>
      </w:r>
      <w:r>
        <w:t xml:space="preserve">Senior Oceanographer / Authorized Signatory</w:t>
      </w:r>
      <w:r>
        <w:br/>
      </w:r>
      <w:r>
        <w:t xml:space="preserve">Date: _______________</w:t>
      </w:r>
    </w:p>
    <w:p>
      <w:pPr>
        <w:pStyle w:val="BodyText"/>
      </w:pPr>
      <w:r>
        <w:rPr>
          <w:bCs/>
          <w:b/>
        </w:rPr>
        <w:t xml:space="preserve">For the Supplier:</w:t>
      </w:r>
    </w:p>
    <w:p>
      <w:pPr>
        <w:pStyle w:val="BodyText"/>
      </w:pPr>
      <w:r>
        <w:t xml:space="preserve">DeepSea Instruments AG</w:t>
      </w:r>
    </w:p>
    <w:p>
      <w:pPr>
        <w:pStyle w:val="BodyText"/>
      </w:pPr>
      <w:r>
        <w:rPr>
          <w:bCs/>
          <w:b/>
        </w:rPr>
        <w:t xml:space="preserve">Klaus Reinhardt</w:t>
      </w:r>
      <w:r>
        <w:br/>
      </w:r>
      <w:r>
        <w:t xml:space="preserve">Sales Director / Authorized Signatory</w:t>
      </w:r>
      <w:r>
        <w:br/>
      </w:r>
      <w:r>
        <w:t xml:space="preserve">Date: _______________</w:t>
      </w:r>
    </w:p>
    <w:p>
      <w:pPr>
        <w:pStyle w:val="BodyText"/>
      </w:pPr>
      <w:r>
        <w:t xml:space="preserve">This Purchase Order document (PO-2025-OFK-00847) is the property of Marine Research &amp; Oceanographic Solutions GmbH, Germany Frankfurt. Unauthorized reproduction or distribution is prohibited. All oceanographic equipment referenced herein is intended for professional research use by a qualified Oceanographer under applicable German and EU maritime regulations.</w:t>
      </w:r>
    </w:p>
    <w:p>
      <w:pPr>
        <w:pStyle w:val="BodyText"/>
      </w:pPr>
      <w:r>
        <w:t xml:space="preserve">Page 1 of 1 | Generated: 14 June 2025 | Document Classification: Internal – Procurement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Oceanographer Equipment - Germany Frankfurt</dc:title>
  <dc:creator/>
  <dc:language>en</dc:language>
  <cp:keywords/>
  <dcterms:created xsi:type="dcterms:W3CDTF">2026-10-10T09:10:21Z</dcterms:created>
  <dcterms:modified xsi:type="dcterms:W3CDTF">2026-10-10T09:10:21Z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