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Ophthalmologist</w:t>
      </w:r>
      <w:r>
        <w:t xml:space="preserve"> </w:t>
      </w:r>
      <w:r>
        <w:t xml:space="preserve">Services</w:t>
      </w:r>
      <w:r>
        <w:t xml:space="preserve"> </w:t>
      </w:r>
      <w:r>
        <w:t xml:space="preserve">-</w:t>
      </w:r>
      <w:r>
        <w:t xml:space="preserve"> </w:t>
      </w:r>
      <w:r>
        <w:t xml:space="preserve">Buenos</w:t>
      </w:r>
      <w:r>
        <w:t xml:space="preserve"> </w:t>
      </w:r>
      <w:r>
        <w:t xml:space="preserve">Aires,</w:t>
      </w:r>
      <w:r>
        <w:t xml:space="preserve"> </w:t>
      </w:r>
      <w:r>
        <w:t xml:space="preserve">Argentina</w:t>
      </w:r>
    </w:p>
    <w:bookmarkStart w:id="20" w:name="purchase-order"/>
    <w:p>
      <w:pPr>
        <w:pStyle w:val="Heading1"/>
      </w:pPr>
      <w:r>
        <w:t xml:space="preserve">PURCHASE ORDER</w:t>
      </w:r>
    </w:p>
    <w:p>
      <w:pPr>
        <w:pStyle w:val="FirstParagraph"/>
      </w:pPr>
      <w:r>
        <w:rPr>
          <w:bCs/>
          <w:b/>
        </w:rPr>
        <w:t xml:space="preserve">Clínica Oftalmológica del Sur S.A.</w:t>
      </w:r>
    </w:p>
    <w:p>
      <w:pPr>
        <w:pStyle w:val="BodyText"/>
      </w:pPr>
      <w:r>
        <w:t xml:space="preserve">Av. Corrientes 2340, Piso 7, C1043AAB, Buenos Aires, Argentina</w:t>
      </w:r>
    </w:p>
    <w:p>
      <w:pPr>
        <w:pStyle w:val="BodyText"/>
      </w:pPr>
      <w:r>
        <w:t xml:space="preserve">CUIT: 30-71234567-8 | Tel: +54 11 4321-5678 | Email: compras@oftalmologicasur.com.ar</w:t>
      </w:r>
    </w:p>
    <w:p>
      <w:pPr>
        <w:pStyle w:val="BodyText"/>
      </w:pPr>
      <w:r>
        <w:t xml:space="preserve">PURCHASE ORDER Nº PO-2025-0487</w:t>
      </w:r>
    </w:p>
    <w:bookmarkEnd w:id="20"/>
    <w:p>
      <w:pPr>
        <w:pStyle w:val="BodyText"/>
      </w:pPr>
      <w:r>
        <w:rPr>
          <w:bCs/>
          <w:b/>
        </w:rPr>
        <w:t xml:space="preserve">Date of Issue:</w:t>
      </w:r>
      <w:r>
        <w:t xml:space="preserve"> </w:t>
      </w:r>
      <w:r>
        <w:t xml:space="preserve">15 de Junio de 2025</w:t>
      </w:r>
      <w:r>
        <w:br/>
      </w:r>
      <w:r>
        <w:rPr>
          <w:bCs/>
          <w:b/>
        </w:rPr>
        <w:t xml:space="preserve">Valid Until:</w:t>
      </w:r>
      <w:r>
        <w:t xml:space="preserve"> </w:t>
      </w:r>
      <w:r>
        <w:t xml:space="preserve">15 de Julio de 2025</w:t>
      </w:r>
      <w:r>
        <w:br/>
      </w:r>
      <w:r>
        <w:rPr>
          <w:bCs/>
          <w:b/>
        </w:rPr>
        <w:t xml:space="preserve">Currency:</w:t>
      </w:r>
      <w:r>
        <w:t xml:space="preserve"> </w:t>
      </w:r>
      <w:r>
        <w:t xml:space="preserve">Argentine Peso (ARS)</w:t>
      </w:r>
    </w:p>
    <w:p>
      <w:pPr>
        <w:pStyle w:val="BodyText"/>
      </w:pPr>
      <w:r>
        <w:rPr>
          <w:bCs/>
          <w:b/>
        </w:rPr>
        <w:t xml:space="preserve">Delivery Location:</w:t>
      </w:r>
      <w:r>
        <w:t xml:space="preserve"> </w:t>
      </w:r>
      <w:r>
        <w:t xml:space="preserve">Buenos Aires, Argentina</w:t>
      </w:r>
      <w:r>
        <w:br/>
      </w:r>
      <w:r>
        <w:rPr>
          <w:bCs/>
          <w:b/>
        </w:rPr>
        <w:t xml:space="preserve">Delivery Address:</w:t>
      </w:r>
      <w:r>
        <w:t xml:space="preserve"> </w:t>
      </w:r>
      <w:r>
        <w:t xml:space="preserve">Av. Corrientes 2340, Piso 7, CABA</w:t>
      </w:r>
      <w:r>
        <w:br/>
      </w:r>
      <w:r>
        <w:rPr>
          <w:bCs/>
          <w:b/>
        </w:rPr>
        <w:t xml:space="preserve">Delivery Window:</w:t>
      </w:r>
      <w:r>
        <w:t xml:space="preserve"> </w:t>
      </w:r>
      <w:r>
        <w:t xml:space="preserve">20 business days from PO date</w:t>
      </w:r>
    </w:p>
    <w:p>
      <w:pPr>
        <w:pStyle w:val="BodyText"/>
      </w:pPr>
      <w:r>
        <w:t xml:space="preserve">SUPPLIER / VENDOR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Supplier Name:</w:t>
            </w:r>
          </w:p>
        </w:tc>
        <w:tc>
          <w:tcPr/>
          <w:p>
            <w:pPr>
              <w:pStyle w:val="Compact"/>
              <w:jc w:val="left"/>
            </w:pPr>
            <w:r>
              <w:t xml:space="preserve">Dr. Martín E. Gutiérrez, Ophthalmologist – Private Practice &amp; Consulting</w:t>
            </w:r>
          </w:p>
        </w:tc>
      </w:tr>
      <w:tr>
        <w:tc>
          <w:tcPr/>
          <w:p>
            <w:pPr>
              <w:pStyle w:val="Compact"/>
              <w:jc w:val="left"/>
            </w:pPr>
            <w:r>
              <w:rPr>
                <w:bCs/>
                <w:b/>
              </w:rPr>
              <w:t xml:space="preserve">Professional License:</w:t>
            </w:r>
          </w:p>
        </w:tc>
        <w:tc>
          <w:tcPr/>
          <w:p>
            <w:pPr>
              <w:pStyle w:val="Compact"/>
              <w:jc w:val="left"/>
            </w:pPr>
            <w:r>
              <w:t xml:space="preserve">Médico Especialista en Oftalmología – Mat. Méd. Nº 12345678, Colegio de Médicos de la Ciudad de Buenos Aires</w:t>
            </w:r>
          </w:p>
        </w:tc>
      </w:tr>
      <w:tr>
        <w:tc>
          <w:tcPr/>
          <w:p>
            <w:pPr>
              <w:pStyle w:val="Compact"/>
              <w:jc w:val="left"/>
            </w:pPr>
            <w:r>
              <w:rPr>
                <w:bCs/>
                <w:b/>
              </w:rPr>
              <w:t xml:space="preserve">Address:</w:t>
            </w:r>
          </w:p>
        </w:tc>
        <w:tc>
          <w:tcPr/>
          <w:p>
            <w:pPr>
              <w:pStyle w:val="Compact"/>
              <w:jc w:val="left"/>
            </w:pPr>
            <w:r>
              <w:t xml:space="preserve">Calle Tucumán 1580, Piso 4, C1010AAG, Buenos Aires, Argentina</w:t>
            </w:r>
          </w:p>
        </w:tc>
      </w:tr>
      <w:tr>
        <w:tc>
          <w:tcPr/>
          <w:p>
            <w:pPr>
              <w:pStyle w:val="Compact"/>
              <w:jc w:val="left"/>
            </w:pPr>
            <w:r>
              <w:rPr>
                <w:bCs/>
                <w:b/>
              </w:rPr>
              <w:t xml:space="preserve">Contact:</w:t>
            </w:r>
          </w:p>
        </w:tc>
        <w:tc>
          <w:tcPr/>
          <w:p>
            <w:pPr>
              <w:pStyle w:val="Compact"/>
              <w:jc w:val="left"/>
            </w:pPr>
            <w:r>
              <w:t xml:space="preserve">Dr. Gutiérrez – Tel: +54 11 5555-9012 – Email: dr.gutierrez.oftalmo@gmail.com</w:t>
            </w:r>
          </w:p>
        </w:tc>
      </w:tr>
      <w:tr>
        <w:tc>
          <w:tcPr/>
          <w:p>
            <w:pPr>
              <w:pStyle w:val="Compact"/>
              <w:jc w:val="left"/>
            </w:pPr>
            <w:r>
              <w:rPr>
                <w:bCs/>
                <w:b/>
              </w:rPr>
              <w:t xml:space="preserve">CUIT:</w:t>
            </w:r>
          </w:p>
        </w:tc>
        <w:tc>
          <w:tcPr/>
          <w:p>
            <w:pPr>
              <w:pStyle w:val="Compact"/>
              <w:jc w:val="left"/>
            </w:pPr>
            <w:r>
              <w:t xml:space="preserve">20-12345678-9</w:t>
            </w:r>
          </w:p>
        </w:tc>
      </w:tr>
    </w:tbl>
    <w:p>
      <w:pPr>
        <w:pStyle w:val="BodyText"/>
      </w:pPr>
      <w:r>
        <w:t xml:space="preserve">PURCHASE ORDER LINE ITEMS – Ophthalmologist Professional Services &amp;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(ARS)</w:t>
            </w:r>
          </w:p>
        </w:tc>
        <w:tc>
          <w:tcPr/>
          <w:p>
            <w:pPr>
              <w:pStyle w:val="Compact"/>
              <w:jc w:val="left"/>
            </w:pPr>
            <w:r>
              <w:t xml:space="preserve">Total (ARS)</w:t>
            </w:r>
          </w:p>
        </w:tc>
        <w:tc>
          <w:tcPr/>
          <w:p>
            <w:pPr>
              <w:pStyle w:val="Compact"/>
              <w:jc w:val="left"/>
            </w:pPr>
            <w:r>
              <w:t xml:space="preserve">Delivery / Due Date</w:t>
            </w:r>
          </w:p>
        </w:tc>
      </w:tr>
      <w:tr>
        <w:tc>
          <w:tcPr/>
          <w:p>
            <w:pPr>
              <w:pStyle w:val="Compact"/>
              <w:jc w:val="left"/>
            </w:pPr>
            <w:r>
              <w:t xml:space="preserve">1</w:t>
            </w:r>
          </w:p>
        </w:tc>
        <w:tc>
          <w:tcPr/>
          <w:p>
            <w:pPr>
              <w:pStyle w:val="Compact"/>
              <w:jc w:val="left"/>
            </w:pPr>
            <w:r>
              <w:t xml:space="preserve">Comprehensive Ophthalmologist consultation and diagnostic evaluation for 120 patients (refractive error assessment, retinal examination, intraocular pressure measurement, and visual field testing) to be performed at the Buenos Aires clinic facility.</w:t>
            </w:r>
          </w:p>
        </w:tc>
        <w:tc>
          <w:tcPr/>
          <w:p>
            <w:pPr>
              <w:pStyle w:val="Compact"/>
              <w:jc w:val="left"/>
            </w:pPr>
            <w:r>
              <w:t xml:space="preserve">120</w:t>
            </w:r>
          </w:p>
        </w:tc>
        <w:tc>
          <w:tcPr/>
          <w:p>
            <w:pPr>
              <w:pStyle w:val="Compact"/>
              <w:jc w:val="left"/>
            </w:pPr>
            <w:r>
              <w:t xml:space="preserve">18,500.00</w:t>
            </w:r>
          </w:p>
        </w:tc>
        <w:tc>
          <w:tcPr/>
          <w:p>
            <w:pPr>
              <w:pStyle w:val="Compact"/>
              <w:jc w:val="left"/>
            </w:pPr>
            <w:r>
              <w:t xml:space="preserve">2,220,000.00</w:t>
            </w:r>
          </w:p>
        </w:tc>
        <w:tc>
          <w:tcPr/>
          <w:p>
            <w:pPr>
              <w:pStyle w:val="Compact"/>
              <w:jc w:val="left"/>
            </w:pPr>
            <w:r>
              <w:t xml:space="preserve">July 15, 2025</w:t>
            </w:r>
          </w:p>
        </w:tc>
      </w:tr>
      <w:tr>
        <w:tc>
          <w:tcPr/>
          <w:p>
            <w:pPr>
              <w:pStyle w:val="Compact"/>
              <w:jc w:val="left"/>
            </w:pPr>
            <w:r>
              <w:t xml:space="preserve">2</w:t>
            </w:r>
          </w:p>
        </w:tc>
        <w:tc>
          <w:tcPr/>
          <w:p>
            <w:pPr>
              <w:pStyle w:val="Compact"/>
              <w:jc w:val="left"/>
            </w:pPr>
            <w:r>
              <w:t xml:space="preserve">Phacoemulsification cataract surgery package (including pre-operative Ophthalmologist assessment, surgical procedure, post-operative follow-up visits x3) for 25 patients. All procedures to be conducted by the designated Ophthalmologist at the Buenos Aires surgical center.</w:t>
            </w:r>
          </w:p>
        </w:tc>
        <w:tc>
          <w:tcPr/>
          <w:p>
            <w:pPr>
              <w:pStyle w:val="Compact"/>
              <w:jc w:val="left"/>
            </w:pPr>
            <w:r>
              <w:t xml:space="preserve">25</w:t>
            </w:r>
          </w:p>
        </w:tc>
        <w:tc>
          <w:tcPr/>
          <w:p>
            <w:pPr>
              <w:pStyle w:val="Compact"/>
              <w:jc w:val="left"/>
            </w:pPr>
            <w:r>
              <w:t xml:space="preserve">485,000.00</w:t>
            </w:r>
          </w:p>
        </w:tc>
        <w:tc>
          <w:tcPr/>
          <w:p>
            <w:pPr>
              <w:pStyle w:val="Compact"/>
              <w:jc w:val="left"/>
            </w:pPr>
            <w:r>
              <w:t xml:space="preserve">12,125,000.00</w:t>
            </w:r>
          </w:p>
        </w:tc>
        <w:tc>
          <w:tcPr/>
          <w:p>
            <w:pPr>
              <w:pStyle w:val="Compact"/>
              <w:jc w:val="left"/>
            </w:pPr>
            <w:r>
              <w:t xml:space="preserve">August 30, 2025</w:t>
            </w:r>
          </w:p>
        </w:tc>
      </w:tr>
      <w:tr>
        <w:tc>
          <w:tcPr/>
          <w:p>
            <w:pPr>
              <w:pStyle w:val="Compact"/>
              <w:jc w:val="left"/>
            </w:pPr>
            <w:r>
              <w:t xml:space="preserve">3</w:t>
            </w:r>
          </w:p>
        </w:tc>
        <w:tc>
          <w:tcPr/>
          <w:p>
            <w:pPr>
              <w:pStyle w:val="Compact"/>
              <w:jc w:val="left"/>
            </w:pPr>
            <w:r>
              <w:t xml:space="preserve">Supply and calibration of one (1) Zeiss Visucam 500 fundus camera for the Ophthalmologist's diagnostic suite. Includes installation, operator training for two (2) clinical staff members, and one-year manufacturer warranty. Delivery to Buenos Aires, Argentina.</w:t>
            </w:r>
          </w:p>
        </w:tc>
        <w:tc>
          <w:tcPr/>
          <w:p>
            <w:pPr>
              <w:pStyle w:val="Compact"/>
              <w:jc w:val="left"/>
            </w:pPr>
            <w:r>
              <w:t xml:space="preserve">1</w:t>
            </w:r>
          </w:p>
        </w:tc>
        <w:tc>
          <w:tcPr/>
          <w:p>
            <w:pPr>
              <w:pStyle w:val="Compact"/>
              <w:jc w:val="left"/>
            </w:pPr>
            <w:r>
              <w:t xml:space="preserve">3,850,000.00</w:t>
            </w:r>
          </w:p>
        </w:tc>
        <w:tc>
          <w:tcPr/>
          <w:p>
            <w:pPr>
              <w:pStyle w:val="Compact"/>
              <w:jc w:val="left"/>
            </w:pPr>
            <w:r>
              <w:t xml:space="preserve">3,850,000.00</w:t>
            </w:r>
          </w:p>
        </w:tc>
        <w:tc>
          <w:tcPr/>
          <w:p>
            <w:pPr>
              <w:pStyle w:val="Compact"/>
              <w:jc w:val="left"/>
            </w:pPr>
            <w:r>
              <w:t xml:space="preserve">July 10, 2025</w:t>
            </w:r>
          </w:p>
        </w:tc>
      </w:tr>
      <w:tr>
        <w:tc>
          <w:tcPr/>
          <w:p>
            <w:pPr>
              <w:pStyle w:val="Compact"/>
              <w:jc w:val="left"/>
            </w:pPr>
            <w:r>
              <w:t xml:space="preserve">4</w:t>
            </w:r>
          </w:p>
        </w:tc>
        <w:tc>
          <w:tcPr/>
          <w:p>
            <w:pPr>
              <w:pStyle w:val="Compact"/>
              <w:jc w:val="left"/>
            </w:pPr>
            <w:r>
              <w:t xml:space="preserve">Annual supply of ophthalmic consumables: intraocular lenses (IOLs) – 60 units, viscoelastic agents – 40 units, surgical sutures – 30 units, and topical anesthetic drops – 200 units. All items must meet ANMAT (Administración Nacional de Medicamentos, Alimentos y Tecnología Médica) registration requirements for use in Argentina.</w:t>
            </w:r>
          </w:p>
        </w:tc>
        <w:tc>
          <w:tcPr/>
          <w:p>
            <w:pPr>
              <w:pStyle w:val="Compact"/>
              <w:jc w:val="left"/>
            </w:pPr>
            <w:r>
              <w:t xml:space="preserve">1</w:t>
            </w:r>
          </w:p>
        </w:tc>
        <w:tc>
          <w:tcPr/>
          <w:p>
            <w:pPr>
              <w:pStyle w:val="Compact"/>
              <w:jc w:val="left"/>
            </w:pPr>
            <w:r>
              <w:t xml:space="preserve">1,240,000.00</w:t>
            </w:r>
          </w:p>
        </w:tc>
        <w:tc>
          <w:tcPr/>
          <w:p>
            <w:pPr>
              <w:pStyle w:val="Compact"/>
              <w:jc w:val="left"/>
            </w:pPr>
            <w:r>
              <w:t xml:space="preserve">1,240,000.00</w:t>
            </w:r>
          </w:p>
        </w:tc>
        <w:tc>
          <w:tcPr/>
          <w:p>
            <w:pPr>
              <w:pStyle w:val="Compact"/>
              <w:jc w:val="left"/>
            </w:pPr>
            <w:r>
              <w:t xml:space="preserve">July 5, 2025</w:t>
            </w:r>
          </w:p>
        </w:tc>
      </w:tr>
      <w:tr>
        <w:tc>
          <w:tcPr/>
          <w:p>
            <w:pPr>
              <w:pStyle w:val="Compact"/>
              <w:jc w:val="left"/>
            </w:pPr>
            <w:r>
              <w:t xml:space="preserve">5</w:t>
            </w:r>
          </w:p>
        </w:tc>
        <w:tc>
          <w:tcPr/>
          <w:p>
            <w:pPr>
              <w:pStyle w:val="Compact"/>
              <w:jc w:val="left"/>
            </w:pPr>
            <w:r>
              <w:t xml:space="preserve">Continuing medical education workshop led by the Ophthalmologist for 30 junior ophthalmic residents. Topic: "Advanced Retinal Imaging and Glaucoma Management in the Buenos Aires Region." Duration: 16 hours. Venue: Hotel Madero, Buenos Aires.</w:t>
            </w:r>
          </w:p>
        </w:tc>
        <w:tc>
          <w:tcPr/>
          <w:p>
            <w:pPr>
              <w:pStyle w:val="Compact"/>
              <w:jc w:val="left"/>
            </w:pPr>
            <w:r>
              <w:t xml:space="preserve">1</w:t>
            </w:r>
          </w:p>
        </w:tc>
        <w:tc>
          <w:tcPr/>
          <w:p>
            <w:pPr>
              <w:pStyle w:val="Compact"/>
              <w:jc w:val="left"/>
            </w:pPr>
            <w:r>
              <w:t xml:space="preserve">950,000.00</w:t>
            </w:r>
          </w:p>
        </w:tc>
        <w:tc>
          <w:tcPr/>
          <w:p>
            <w:pPr>
              <w:pStyle w:val="Compact"/>
              <w:jc w:val="left"/>
            </w:pPr>
            <w:r>
              <w:t xml:space="preserve">950,000.00</w:t>
            </w:r>
          </w:p>
        </w:tc>
        <w:tc>
          <w:tcPr/>
          <w:p>
            <w:pPr>
              <w:pStyle w:val="Compact"/>
              <w:jc w:val="left"/>
            </w:pPr>
            <w:r>
              <w:t xml:space="preserve">September 12, 2025</w:t>
            </w:r>
          </w:p>
        </w:tc>
      </w:tr>
      <w:tr>
        <w:tc>
          <w:tcPr/>
          <w:p>
            <w:pPr>
              <w:pStyle w:val="Compact"/>
              <w:jc w:val="left"/>
            </w:pPr>
            <w:r>
              <w:t xml:space="preserve">6</w:t>
            </w:r>
          </w:p>
        </w:tc>
        <w:tc>
          <w:tcPr/>
          <w:p>
            <w:pPr>
              <w:pStyle w:val="Compact"/>
              <w:jc w:val="left"/>
            </w:pPr>
            <w:r>
              <w:t xml:space="preserve">Tele-ophthalmology platform license (12-month subscription) enabling the Ophthalmologist to conduct remote retinal screenings for 500 patients across the Buenos Aires metropolitan area and surrounding provinces. Includes data hosting compliant with Argentine data protection law (Ley 25.326).</w:t>
            </w:r>
          </w:p>
        </w:tc>
        <w:tc>
          <w:tcPr/>
          <w:p>
            <w:pPr>
              <w:pStyle w:val="Compact"/>
              <w:jc w:val="left"/>
            </w:pPr>
            <w:r>
              <w:t xml:space="preserve">1</w:t>
            </w:r>
          </w:p>
        </w:tc>
        <w:tc>
          <w:tcPr/>
          <w:p>
            <w:pPr>
              <w:pStyle w:val="Compact"/>
              <w:jc w:val="left"/>
            </w:pPr>
            <w:r>
              <w:t xml:space="preserve">720,000.00</w:t>
            </w:r>
          </w:p>
        </w:tc>
        <w:tc>
          <w:tcPr/>
          <w:p>
            <w:pPr>
              <w:pStyle w:val="Compact"/>
              <w:jc w:val="left"/>
            </w:pPr>
            <w:r>
              <w:t xml:space="preserve">720,000.00</w:t>
            </w:r>
          </w:p>
        </w:tc>
        <w:tc>
          <w:tcPr/>
          <w:p>
            <w:pPr>
              <w:pStyle w:val="Compact"/>
              <w:jc w:val="left"/>
            </w:pPr>
            <w:r>
              <w:t xml:space="preserve">July 1, 2025</w:t>
            </w:r>
          </w:p>
        </w:tc>
      </w:tr>
      <w:tr>
        <w:tc>
          <w:tcPr>
            <w:gridSpan w:val="4"/>
          </w:tcPr>
          <w:p>
            <w:pPr>
              <w:pStyle w:val="Compact"/>
              <w:jc w:val="right"/>
            </w:pPr>
            <w:r>
              <w:t xml:space="preserve">SUBTOTAL:</w:t>
            </w:r>
          </w:p>
        </w:tc>
        <w:tc>
          <w:tcPr/>
          <w:p>
            <w:pPr>
              <w:pStyle w:val="Compact"/>
              <w:jc w:val="left"/>
            </w:pPr>
            <w:r>
              <w:t xml:space="preserve">21,105,000.00</w:t>
            </w:r>
          </w:p>
        </w:tc>
        <w:tc>
          <w:tcPr/>
          <w:p>
            <w:pPr>
              <w:pStyle w:val="Compact"/>
            </w:pPr>
          </w:p>
        </w:tc>
      </w:tr>
      <w:tr>
        <w:tc>
          <w:tcPr>
            <w:gridSpan w:val="4"/>
          </w:tcPr>
          <w:p>
            <w:pPr>
              <w:pStyle w:val="Compact"/>
              <w:jc w:val="right"/>
            </w:pPr>
            <w:r>
              <w:t xml:space="preserve">IVA (21% – Argentine Value Added Tax):</w:t>
            </w:r>
          </w:p>
        </w:tc>
        <w:tc>
          <w:tcPr/>
          <w:p>
            <w:pPr>
              <w:pStyle w:val="Compact"/>
              <w:jc w:val="left"/>
            </w:pPr>
            <w:r>
              <w:t xml:space="preserve">4,432,050.00</w:t>
            </w:r>
          </w:p>
        </w:tc>
        <w:tc>
          <w:tcPr/>
          <w:p>
            <w:pPr>
              <w:pStyle w:val="Compact"/>
            </w:pPr>
          </w:p>
        </w:tc>
      </w:tr>
      <w:tr>
        <w:tc>
          <w:tcPr>
            <w:gridSpan w:val="4"/>
          </w:tcPr>
          <w:p>
            <w:pPr>
              <w:pStyle w:val="Compact"/>
              <w:jc w:val="right"/>
            </w:pPr>
            <w:r>
              <w:t xml:space="preserve">GRAND TOTAL (ARS):</w:t>
            </w:r>
          </w:p>
        </w:tc>
        <w:tc>
          <w:tcPr/>
          <w:p>
            <w:pPr>
              <w:pStyle w:val="Compact"/>
              <w:jc w:val="left"/>
            </w:pPr>
            <w:r>
              <w:t xml:space="preserve">25,537,050.00</w:t>
            </w:r>
          </w:p>
        </w:tc>
        <w:tc>
          <w:tcPr/>
          <w:p>
            <w:pPr>
              <w:pStyle w:val="Compact"/>
            </w:pPr>
          </w:p>
        </w:tc>
      </w:tr>
    </w:tbl>
    <w:p>
      <w:pPr>
        <w:pStyle w:val="BodyText"/>
      </w:pPr>
      <w:r>
        <w:t xml:space="preserve">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Argentine Republic, specifically the Civil and Commercial Code of the Nation (Código Civil y Comercial de la Nación, Ley 26.994) and applicable regulations of the City of Buenos Aires.</w:t>
      </w:r>
    </w:p>
    <w:p>
      <w:pPr>
        <w:numPr>
          <w:ilvl w:val="0"/>
          <w:numId w:val="1001"/>
        </w:numPr>
        <w:pStyle w:val="Compact"/>
      </w:pPr>
      <w:r>
        <w:rPr>
          <w:bCs/>
          <w:b/>
        </w:rPr>
        <w:t xml:space="preserve">Payment Terms:</w:t>
      </w:r>
      <w:r>
        <w:t xml:space="preserve"> </w:t>
      </w:r>
      <w:r>
        <w:t xml:space="preserve">Payment shall be made within thirty (30) calendar days from the date of receipt of a valid Argentine electronic invoice (Factura Electrónica) issued in compliance with AFIP (Administración Federal de Ingresos Públicos) regulations. Payment shall be executed via bank transfer (transferencia bancaria) to the account designated by the Ophthalmologist or their authorized representative.</w:t>
      </w:r>
    </w:p>
    <w:p>
      <w:pPr>
        <w:numPr>
          <w:ilvl w:val="0"/>
          <w:numId w:val="1001"/>
        </w:numPr>
        <w:pStyle w:val="Compact"/>
      </w:pPr>
      <w:r>
        <w:rPr>
          <w:bCs/>
          <w:b/>
        </w:rPr>
        <w:t xml:space="preserve">Delivery and Risk:</w:t>
      </w:r>
      <w:r>
        <w:t xml:space="preserve"> </w:t>
      </w:r>
      <w:r>
        <w:t xml:space="preserve">All equipment and consumables shall be delivered to the address in Buenos Aires, Argentina, specified above. Risk of loss transfers to the buyer upon signed delivery receipt. The Ophthalmologist's professional services are deemed delivered upon completion of the scheduled clinical sessions.</w:t>
      </w:r>
    </w:p>
    <w:p>
      <w:pPr>
        <w:numPr>
          <w:ilvl w:val="0"/>
          <w:numId w:val="1001"/>
        </w:numPr>
        <w:pStyle w:val="Compact"/>
      </w:pPr>
      <w:r>
        <w:rPr>
          <w:bCs/>
          <w:b/>
        </w:rPr>
        <w:t xml:space="preserve">Quality and Compliance:</w:t>
      </w:r>
      <w:r>
        <w:t xml:space="preserve"> </w:t>
      </w:r>
      <w:r>
        <w:t xml:space="preserve">All medical devices, ophthalmic instruments, and consumables must hold valid ANMAT registration. The Ophthalmologist warrants that all clinical services will be performed in accordance with the ethical standards established by the Colegio de Médicos de la Ciudad de Buenos Aires and the Argentine Society of Ophthalmology (Sociedad Argentina de Oftalmología).</w:t>
      </w:r>
    </w:p>
    <w:p>
      <w:pPr>
        <w:numPr>
          <w:ilvl w:val="0"/>
          <w:numId w:val="1001"/>
        </w:numPr>
        <w:pStyle w:val="Compact"/>
      </w:pPr>
      <w:r>
        <w:rPr>
          <w:bCs/>
          <w:b/>
        </w:rPr>
        <w:t xml:space="preserve">Confidentiality:</w:t>
      </w:r>
      <w:r>
        <w:t xml:space="preserve"> </w:t>
      </w:r>
      <w:r>
        <w:t xml:space="preserve">Both parties agree to maintain strict confidentiality regarding patient data, clinical records, and proprietary business information in accordance with Argentine Law 25.326 on Personal Data Protection and applicable health-sector regulations.</w:t>
      </w:r>
    </w:p>
    <w:p>
      <w:pPr>
        <w:numPr>
          <w:ilvl w:val="0"/>
          <w:numId w:val="1001"/>
        </w:numPr>
        <w:pStyle w:val="Compact"/>
      </w:pPr>
      <w:r>
        <w:rPr>
          <w:bCs/>
          <w:b/>
        </w:rPr>
        <w:t xml:space="preserve">Warranty:</w:t>
      </w:r>
      <w:r>
        <w:t xml:space="preserve"> </w:t>
      </w:r>
      <w:r>
        <w:t xml:space="preserve">The Ophthalmologist provides a professional service warranty of twelve (12) months for all surgical procedures listed in this Purchase Order. Equipment warranties are as specified by the respective manufacturers and are transferable to the buyer.</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government-mandated closures, or public health emergencies affecting the Buenos Aires metropolitan area.</w:t>
      </w:r>
    </w:p>
    <w:p>
      <w:pPr>
        <w:numPr>
          <w:ilvl w:val="0"/>
          <w:numId w:val="1001"/>
        </w:numPr>
        <w:pStyle w:val="Compact"/>
      </w:pPr>
      <w:r>
        <w:rPr>
          <w:bCs/>
          <w:b/>
        </w:rPr>
        <w:t xml:space="preserve">Dispute Resolution:</w:t>
      </w:r>
      <w:r>
        <w:t xml:space="preserve"> </w:t>
      </w:r>
      <w:r>
        <w:t xml:space="preserve">Any dispute arising from this Purchase Order shall be resolved through binding arbitration seated in Buenos Aires, Argentina, in accordance with the rules of the Argentine Chamber of Commerce (Cámara de Comercio Argentina). The language of arbitration shall be Spanish.</w:t>
      </w:r>
    </w:p>
    <w:p>
      <w:pPr>
        <w:numPr>
          <w:ilvl w:val="0"/>
          <w:numId w:val="1001"/>
        </w:numPr>
        <w:pStyle w:val="Compact"/>
      </w:pPr>
      <w:r>
        <w:rPr>
          <w:bCs/>
          <w:b/>
        </w:rPr>
        <w:t xml:space="preserve">Amendments:</w:t>
      </w:r>
      <w:r>
        <w:t xml:space="preserve"> </w:t>
      </w:r>
      <w:r>
        <w:t xml:space="preserve">No modification to this Purchase Order shall be valid unless executed in writing and signed by authorized representatives of both parties.</w:t>
      </w:r>
    </w:p>
    <w:p>
      <w:pPr>
        <w:numPr>
          <w:ilvl w:val="0"/>
          <w:numId w:val="1001"/>
        </w:numPr>
        <w:pStyle w:val="Compact"/>
      </w:pPr>
      <w:r>
        <w:rPr>
          <w:bCs/>
          <w:b/>
        </w:rPr>
        <w:t xml:space="preserve">Validity:</w:t>
      </w:r>
      <w:r>
        <w:t xml:space="preserve"> </w:t>
      </w:r>
      <w:r>
        <w:t xml:space="preserve">This Purchase Order is valid for a period of thirty (30) days from the date of issue. Acceptance beyond this period requires written reconfirmation.</w:t>
      </w:r>
    </w:p>
    <w:p>
      <w:pPr>
        <w:pStyle w:val="FirstParagraph"/>
      </w:pPr>
      <w:r>
        <w:t xml:space="preserve">AUTHORIZATION AND ACCEPTANCE</w:t>
      </w:r>
    </w:p>
    <w:p>
      <w:pPr>
        <w:pStyle w:val="BodyText"/>
      </w:pPr>
      <w:r>
        <w:rPr>
          <w:bCs/>
          <w:b/>
        </w:rPr>
        <w:t xml:space="preserve">BUYER – Clínica Oftalmológica del Sur S.A.</w:t>
      </w:r>
    </w:p>
    <w:p>
      <w:pPr>
        <w:pStyle w:val="BodyText"/>
      </w:pPr>
      <w:r>
        <w:rPr>
          <w:bCs/>
          <w:b/>
        </w:rPr>
        <w:t xml:space="preserve">Ing. Laura Fernández</w:t>
      </w:r>
      <w:r>
        <w:br/>
      </w:r>
      <w:r>
        <w:t xml:space="preserve">Director of Procurement</w:t>
      </w:r>
      <w:r>
        <w:br/>
      </w:r>
      <w:r>
        <w:t xml:space="preserve">Date: _______________</w:t>
      </w:r>
    </w:p>
    <w:p>
      <w:pPr>
        <w:pStyle w:val="BodyText"/>
      </w:pPr>
      <w:r>
        <w:rPr>
          <w:bCs/>
          <w:b/>
        </w:rPr>
        <w:t xml:space="preserve">SUPPLIER – Dr. Martín E. Gutiérrez, Ophthalmologist</w:t>
      </w:r>
    </w:p>
    <w:p>
      <w:pPr>
        <w:pStyle w:val="BodyText"/>
      </w:pPr>
      <w:r>
        <w:rPr>
          <w:bCs/>
          <w:b/>
        </w:rPr>
        <w:t xml:space="preserve">Dr. Martín E. Gutiérrez</w:t>
      </w:r>
      <w:r>
        <w:br/>
      </w:r>
      <w:r>
        <w:t xml:space="preserve">Ophthalmologist – Mat. Méd. Nº 12345678</w:t>
      </w:r>
      <w:r>
        <w:br/>
      </w:r>
      <w:r>
        <w:t xml:space="preserve">Date: _______________</w:t>
      </w:r>
    </w:p>
    <w:p>
      <w:pPr>
        <w:pStyle w:val="BodyText"/>
      </w:pPr>
      <w:r>
        <w:t xml:space="preserve">This Purchase Order (PO-2025-0487) was issued in Buenos Aires, Argentina, on June 15, 2025. All transactions are subject to Argentine tax regulations (AFIP) and applicable ophthalmic professional standards. For inquiries, contact the Procurement Department at compras@oftalmologicasur.com.ar or +54 11 4321-5678.</w:t>
      </w:r>
    </w:p>
    <w:p>
      <w:pPr>
        <w:pStyle w:val="BodyText"/>
      </w:pPr>
      <w:r>
        <w:t xml:space="preserve">Document generated in compliance with Argentine commercial documentation standards.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Ophthalmologist Services - Buenos Aires, Argentina</dc:title>
  <dc:creator/>
  <dc:language>en</dc:language>
  <cp:keywords/>
  <dcterms:created xsi:type="dcterms:W3CDTF">2026-10-10T07:02:49Z</dcterms:created>
  <dcterms:modified xsi:type="dcterms:W3CDTF">2026-10-10T07:02:49Z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