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Official Procurement Document for Ophthalmologist Professional Services</w:t>
      </w:r>
    </w:p>
    <w:p>
      <w:pPr>
        <w:pStyle w:val="BodyText"/>
      </w:pPr>
      <w:r>
        <w:t xml:space="preserve">Issued in the Province of Argentina Córdoba</w:t>
      </w:r>
    </w:p>
    <w:p>
      <w:pPr>
        <w:pStyle w:val="BodyText"/>
      </w:pPr>
      <w:r>
        <w:t xml:space="preserve">PO No. AC-OPH-2025-0047</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AC-OPH-2025-0047</w:t>
            </w:r>
          </w:p>
        </w:tc>
      </w:tr>
      <w:tr>
        <w:tc>
          <w:tcPr/>
          <w:p>
            <w:pPr>
              <w:pStyle w:val="Compact"/>
              <w:jc w:val="left"/>
            </w:pPr>
            <w:r>
              <w:rPr>
                <w:bCs/>
                <w:b/>
              </w:rPr>
              <w:t xml:space="preserve">Date of Issue:</w:t>
            </w:r>
          </w:p>
        </w:tc>
        <w:tc>
          <w:tcPr/>
          <w:p>
            <w:pPr>
              <w:pStyle w:val="Compact"/>
              <w:jc w:val="left"/>
            </w:pPr>
            <w:r>
              <w:t xml:space="preserve">June 15, 2025</w:t>
            </w:r>
          </w:p>
        </w:tc>
      </w:tr>
      <w:tr>
        <w:tc>
          <w:tcPr/>
          <w:p>
            <w:pPr>
              <w:pStyle w:val="Compact"/>
              <w:jc w:val="left"/>
            </w:pPr>
            <w:r>
              <w:rPr>
                <w:bCs/>
                <w:b/>
              </w:rPr>
              <w:t xml:space="preserve">Place of Issue:</w:t>
            </w:r>
          </w:p>
        </w:tc>
        <w:tc>
          <w:tcPr/>
          <w:p>
            <w:pPr>
              <w:pStyle w:val="Compact"/>
              <w:jc w:val="left"/>
            </w:pPr>
            <w:r>
              <w:t xml:space="preserve">Córdoba, Argentina</w:t>
            </w:r>
          </w:p>
        </w:tc>
      </w:tr>
      <w:tr>
        <w:tc>
          <w:tcPr/>
          <w:p>
            <w:pPr>
              <w:pStyle w:val="Compact"/>
              <w:jc w:val="left"/>
            </w:pPr>
            <w:r>
              <w:rPr>
                <w:bCs/>
                <w:b/>
              </w:rPr>
              <w:t xml:space="preserve">Delivery Deadline:</w:t>
            </w:r>
          </w:p>
        </w:tc>
        <w:tc>
          <w:tcPr/>
          <w:p>
            <w:pPr>
              <w:pStyle w:val="Compact"/>
              <w:jc w:val="left"/>
            </w:pPr>
            <w:r>
              <w:t xml:space="preserve">July 30, 2025</w:t>
            </w:r>
          </w:p>
        </w:tc>
      </w:tr>
      <w:tr>
        <w:tc>
          <w:tcPr/>
          <w:p>
            <w:pPr>
              <w:pStyle w:val="Compact"/>
              <w:jc w:val="left"/>
            </w:pPr>
            <w:r>
              <w:rPr>
                <w:bCs/>
                <w:b/>
              </w:rPr>
              <w:t xml:space="preserve">Currency:</w:t>
            </w:r>
          </w:p>
        </w:tc>
        <w:tc>
          <w:tcPr/>
          <w:p>
            <w:pPr>
              <w:pStyle w:val="Compact"/>
              <w:jc w:val="left"/>
            </w:pPr>
            <w:r>
              <w:t xml:space="preserve">Argentine Peso (ARS)</w:t>
            </w:r>
          </w:p>
        </w:tc>
      </w:tr>
      <w:tr>
        <w:tc>
          <w:tcPr/>
          <w:p>
            <w:pPr>
              <w:pStyle w:val="Compact"/>
              <w:jc w:val="left"/>
            </w:pPr>
            <w:r>
              <w:rPr>
                <w:bCs/>
                <w:b/>
              </w:rPr>
              <w:t xml:space="preserve">Applicable Jurisdiction:</w:t>
            </w:r>
          </w:p>
        </w:tc>
        <w:tc>
          <w:tcPr/>
          <w:p>
            <w:pPr>
              <w:pStyle w:val="Compact"/>
              <w:jc w:val="left"/>
            </w:pPr>
            <w:r>
              <w:t xml:space="preserve">Province of Córdoba, Argentina</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Centro Médico Oftalmológico de Córdoba S.A.</w:t>
            </w:r>
          </w:p>
        </w:tc>
      </w:tr>
      <w:tr>
        <w:tc>
          <w:tcPr/>
          <w:p>
            <w:pPr>
              <w:pStyle w:val="Compact"/>
              <w:jc w:val="left"/>
            </w:pPr>
            <w:r>
              <w:rPr>
                <w:bCs/>
                <w:b/>
              </w:rPr>
              <w:t xml:space="preserve">Address:</w:t>
            </w:r>
          </w:p>
        </w:tc>
        <w:tc>
          <w:tcPr/>
          <w:p>
            <w:pPr>
              <w:pStyle w:val="Compact"/>
              <w:jc w:val="left"/>
            </w:pPr>
            <w:r>
              <w:t xml:space="preserve">Av. Vélez Sarsfield 1250, Piso 4, Ciudad de Córdoba, Argentina</w:t>
            </w:r>
          </w:p>
        </w:tc>
      </w:tr>
      <w:tr>
        <w:tc>
          <w:tcPr/>
          <w:p>
            <w:pPr>
              <w:pStyle w:val="Compact"/>
              <w:jc w:val="left"/>
            </w:pPr>
            <w:r>
              <w:rPr>
                <w:bCs/>
                <w:b/>
              </w:rPr>
              <w:t xml:space="preserve">CUIT:</w:t>
            </w:r>
          </w:p>
        </w:tc>
        <w:tc>
          <w:tcPr/>
          <w:p>
            <w:pPr>
              <w:pStyle w:val="Compact"/>
              <w:jc w:val="left"/>
            </w:pPr>
            <w:r>
              <w:t xml:space="preserve">30-71234567-8</w:t>
            </w:r>
          </w:p>
        </w:tc>
      </w:tr>
      <w:tr>
        <w:tc>
          <w:tcPr/>
          <w:p>
            <w:pPr>
              <w:pStyle w:val="Compact"/>
              <w:jc w:val="left"/>
            </w:pPr>
            <w:r>
              <w:rPr>
                <w:bCs/>
                <w:b/>
              </w:rPr>
              <w:t xml:space="preserve">Contact Person:</w:t>
            </w:r>
          </w:p>
        </w:tc>
        <w:tc>
          <w:tcPr/>
          <w:p>
            <w:pPr>
              <w:pStyle w:val="Compact"/>
              <w:jc w:val="left"/>
            </w:pPr>
            <w:r>
              <w:t xml:space="preserve">Dr. Martín Herrera, Director of Procurement</w:t>
            </w:r>
          </w:p>
        </w:tc>
      </w:tr>
      <w:tr>
        <w:tc>
          <w:tcPr/>
          <w:p>
            <w:pPr>
              <w:pStyle w:val="Compact"/>
              <w:jc w:val="left"/>
            </w:pPr>
            <w:r>
              <w:rPr>
                <w:bCs/>
                <w:b/>
              </w:rPr>
              <w:t xml:space="preserve">Email:</w:t>
            </w:r>
          </w:p>
        </w:tc>
        <w:tc>
          <w:tcPr/>
          <w:p>
            <w:pPr>
              <w:pStyle w:val="Compact"/>
              <w:jc w:val="left"/>
            </w:pPr>
            <w:r>
              <w:t xml:space="preserve">compras@centrooftalmo.com.ar</w:t>
            </w:r>
          </w:p>
        </w:tc>
      </w:tr>
      <w:tr>
        <w:tc>
          <w:tcPr/>
          <w:p>
            <w:pPr>
              <w:pStyle w:val="Compact"/>
              <w:jc w:val="left"/>
            </w:pPr>
            <w:r>
              <w:rPr>
                <w:bCs/>
                <w:b/>
              </w:rPr>
              <w:t xml:space="preserve">Phone:</w:t>
            </w:r>
          </w:p>
        </w:tc>
        <w:tc>
          <w:tcPr/>
          <w:p>
            <w:pPr>
              <w:pStyle w:val="Compact"/>
              <w:jc w:val="left"/>
            </w:pPr>
            <w:r>
              <w:t xml:space="preserve">+54 351 425-6789</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w:t>
            </w:r>
          </w:p>
        </w:tc>
        <w:tc>
          <w:tcPr/>
          <w:p>
            <w:pPr>
              <w:pStyle w:val="Compact"/>
              <w:jc w:val="left"/>
            </w:pPr>
            <w:r>
              <w:t xml:space="preserve">Dr. Lucía Fernández Ríos, Ophthalmologist</w:t>
            </w:r>
          </w:p>
        </w:tc>
      </w:tr>
      <w:tr>
        <w:tc>
          <w:tcPr/>
          <w:p>
            <w:pPr>
              <w:pStyle w:val="Compact"/>
              <w:jc w:val="left"/>
            </w:pPr>
            <w:r>
              <w:rPr>
                <w:bCs/>
                <w:b/>
              </w:rPr>
              <w:t xml:space="preserve">Specialty:</w:t>
            </w:r>
          </w:p>
        </w:tc>
        <w:tc>
          <w:tcPr/>
          <w:p>
            <w:pPr>
              <w:pStyle w:val="Compact"/>
              <w:jc w:val="left"/>
            </w:pPr>
            <w:r>
              <w:t xml:space="preserve">Retinal Surgery, Cataract Extraction, and Comprehensive Ophthalmology</w:t>
            </w:r>
          </w:p>
        </w:tc>
      </w:tr>
      <w:tr>
        <w:tc>
          <w:tcPr/>
          <w:p>
            <w:pPr>
              <w:pStyle w:val="Compact"/>
              <w:jc w:val="left"/>
            </w:pPr>
            <w:r>
              <w:rPr>
                <w:bCs/>
                <w:b/>
              </w:rPr>
              <w:t xml:space="preserve">Professional License:</w:t>
            </w:r>
          </w:p>
        </w:tc>
        <w:tc>
          <w:tcPr/>
          <w:p>
            <w:pPr>
              <w:pStyle w:val="Compact"/>
              <w:jc w:val="left"/>
            </w:pPr>
            <w:r>
              <w:t xml:space="preserve">MAT N° 28456712 – Colegio de Médicos de la Provincia de Córdoba</w:t>
            </w:r>
          </w:p>
        </w:tc>
      </w:tr>
      <w:tr>
        <w:tc>
          <w:tcPr/>
          <w:p>
            <w:pPr>
              <w:pStyle w:val="Compact"/>
              <w:jc w:val="left"/>
            </w:pPr>
            <w:r>
              <w:rPr>
                <w:bCs/>
                <w:b/>
              </w:rPr>
              <w:t xml:space="preserve">Address:</w:t>
            </w:r>
          </w:p>
        </w:tc>
        <w:tc>
          <w:tcPr/>
          <w:p>
            <w:pPr>
              <w:pStyle w:val="Compact"/>
              <w:jc w:val="left"/>
            </w:pPr>
            <w:r>
              <w:t xml:space="preserve">Av. Colón 890, Oficina 210, Ciudad de Córdoba, Argentina</w:t>
            </w:r>
          </w:p>
        </w:tc>
      </w:tr>
      <w:tr>
        <w:tc>
          <w:tcPr/>
          <w:p>
            <w:pPr>
              <w:pStyle w:val="Compact"/>
              <w:jc w:val="left"/>
            </w:pPr>
            <w:r>
              <w:rPr>
                <w:bCs/>
                <w:b/>
              </w:rPr>
              <w:t xml:space="preserve">CUIL:</w:t>
            </w:r>
          </w:p>
        </w:tc>
        <w:tc>
          <w:tcPr/>
          <w:p>
            <w:pPr>
              <w:pStyle w:val="Compact"/>
              <w:jc w:val="left"/>
            </w:pPr>
            <w:r>
              <w:t xml:space="preserve">27-19876543-2</w:t>
            </w:r>
          </w:p>
        </w:tc>
      </w:tr>
      <w:tr>
        <w:tc>
          <w:tcPr/>
          <w:p>
            <w:pPr>
              <w:pStyle w:val="Compact"/>
              <w:jc w:val="left"/>
            </w:pPr>
            <w:r>
              <w:rPr>
                <w:bCs/>
                <w:b/>
              </w:rPr>
              <w:t xml:space="preserve">Contact:</w:t>
            </w:r>
          </w:p>
        </w:tc>
        <w:tc>
          <w:tcPr/>
          <w:p>
            <w:pPr>
              <w:pStyle w:val="Compact"/>
              <w:jc w:val="left"/>
            </w:pPr>
            <w:r>
              <w:t xml:space="preserve">lucia.fernandez@oftalmologiacba.com.ar | +54 351 487-3321</w:t>
            </w:r>
          </w:p>
        </w:tc>
      </w:tr>
    </w:tbl>
    <w:bookmarkEnd w:id="23"/>
    <w:bookmarkStart w:id="24" w:name="description-of-goods-and-services"/>
    <w:p>
      <w:pPr>
        <w:pStyle w:val="Heading2"/>
      </w:pPr>
      <w:r>
        <w:t xml:space="preserve">4. Description of Goods and Services</w:t>
      </w:r>
    </w:p>
    <w:p>
      <w:pPr>
        <w:pStyle w:val="FirstParagraph"/>
      </w:pPr>
      <w:r>
        <w:t xml:space="preserve">This Purchase Order is issued by Centro Médico Oftalmológico de Córdoba S.A. to formally engage the services of a qualified</w:t>
      </w:r>
      <w:r>
        <w:t xml:space="preserve"> </w:t>
      </w:r>
      <w:r>
        <w:t xml:space="preserve">Ophthalmologist</w:t>
      </w:r>
      <w:r>
        <w:t xml:space="preserve"> </w:t>
      </w:r>
      <w:r>
        <w:t xml:space="preserve">for the provision of specialized ophthalmic consultations, diagnostic procedures, and surgical interventions within the facilities located in the city of Córdoba, Argentina. The Ophthalmologist shall render professional medical services in strict compliance with the regulations established by the Colegio de Médicos de la Provincia de Córdoba and the national health authority (Ministerio de Salud de la Nación, Argentina).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Comprehensive Ophthalmologist consultation and visual acuity assessment (per patient session)</w:t>
            </w:r>
          </w:p>
        </w:tc>
        <w:tc>
          <w:tcPr/>
          <w:p>
            <w:pPr>
              <w:pStyle w:val="Compact"/>
              <w:jc w:val="left"/>
            </w:pPr>
            <w:r>
              <w:t xml:space="preserve">120 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Retinal diagnostic imaging (OCT, fundus photography, and perimetry) performed by the Ophthalmologist</w:t>
            </w:r>
          </w:p>
        </w:tc>
        <w:tc>
          <w:tcPr/>
          <w:p>
            <w:pPr>
              <w:pStyle w:val="Compact"/>
              <w:jc w:val="left"/>
            </w:pPr>
            <w:r>
              <w:t xml:space="preserve">85 procedures</w:t>
            </w:r>
          </w:p>
        </w:tc>
        <w:tc>
          <w:tcPr/>
          <w:p>
            <w:pPr>
              <w:pStyle w:val="Compact"/>
              <w:jc w:val="left"/>
            </w:pPr>
            <w:r>
              <w:t xml:space="preserve">24,000</w:t>
            </w:r>
          </w:p>
        </w:tc>
        <w:tc>
          <w:tcPr/>
          <w:p>
            <w:pPr>
              <w:pStyle w:val="Compact"/>
              <w:jc w:val="left"/>
            </w:pPr>
            <w:r>
              <w:t xml:space="preserve">2,040,000</w:t>
            </w:r>
          </w:p>
        </w:tc>
      </w:tr>
      <w:tr>
        <w:tc>
          <w:tcPr/>
          <w:p>
            <w:pPr>
              <w:pStyle w:val="Compact"/>
              <w:jc w:val="left"/>
            </w:pPr>
            <w:r>
              <w:t xml:space="preserve">03</w:t>
            </w:r>
          </w:p>
        </w:tc>
        <w:tc>
          <w:tcPr/>
          <w:p>
            <w:pPr>
              <w:pStyle w:val="Compact"/>
              <w:jc w:val="left"/>
            </w:pPr>
            <w:r>
              <w:t xml:space="preserve">Cataract extraction surgery with intraocular lens implantation (per surgical case)</w:t>
            </w:r>
          </w:p>
        </w:tc>
        <w:tc>
          <w:tcPr/>
          <w:p>
            <w:pPr>
              <w:pStyle w:val="Compact"/>
              <w:jc w:val="left"/>
            </w:pPr>
            <w:r>
              <w:t xml:space="preserve">30 cases</w:t>
            </w:r>
          </w:p>
        </w:tc>
        <w:tc>
          <w:tcPr/>
          <w:p>
            <w:pPr>
              <w:pStyle w:val="Compact"/>
              <w:jc w:val="left"/>
            </w:pPr>
            <w:r>
              <w:t xml:space="preserve">185,000</w:t>
            </w:r>
          </w:p>
        </w:tc>
        <w:tc>
          <w:tcPr/>
          <w:p>
            <w:pPr>
              <w:pStyle w:val="Compact"/>
              <w:jc w:val="left"/>
            </w:pPr>
            <w:r>
              <w:t xml:space="preserve">5,550,000</w:t>
            </w:r>
          </w:p>
        </w:tc>
      </w:tr>
      <w:tr>
        <w:tc>
          <w:tcPr/>
          <w:p>
            <w:pPr>
              <w:pStyle w:val="Compact"/>
              <w:jc w:val="left"/>
            </w:pPr>
            <w:r>
              <w:t xml:space="preserve">04</w:t>
            </w:r>
          </w:p>
        </w:tc>
        <w:tc>
          <w:tcPr/>
          <w:p>
            <w:pPr>
              <w:pStyle w:val="Compact"/>
              <w:jc w:val="left"/>
            </w:pPr>
            <w:r>
              <w:t xml:space="preserve">Post-operative follow-up visits by the Ophthalmologist (per patient, 3 visits)</w:t>
            </w:r>
          </w:p>
        </w:tc>
        <w:tc>
          <w:tcPr/>
          <w:p>
            <w:pPr>
              <w:pStyle w:val="Compact"/>
              <w:jc w:val="left"/>
            </w:pPr>
            <w:r>
              <w:t xml:space="preserve">90 visits</w:t>
            </w:r>
          </w:p>
        </w:tc>
        <w:tc>
          <w:tcPr/>
          <w:p>
            <w:pPr>
              <w:pStyle w:val="Compact"/>
              <w:jc w:val="left"/>
            </w:pPr>
            <w:r>
              <w:t xml:space="preserve">12,000</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Urgent ophthalmic emergency coverage (on-call shift, 8 hours)</w:t>
            </w:r>
          </w:p>
        </w:tc>
        <w:tc>
          <w:tcPr/>
          <w:p>
            <w:pPr>
              <w:pStyle w:val="Compact"/>
              <w:jc w:val="left"/>
            </w:pPr>
            <w:r>
              <w:t xml:space="preserve">12 shifts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Medical report preparation and documentation for insurance claims (per report)</w:t>
            </w:r>
          </w:p>
        </w:tc>
        <w:tc>
          <w:tcPr/>
          <w:p>
            <w:pPr>
              <w:pStyle w:val="Compact"/>
              <w:jc w:val="left"/>
            </w:pPr>
            <w:r>
              <w:t xml:space="preserve">200 reports</w:t>
            </w:r>
          </w:p>
        </w:tc>
        <w:tc>
          <w:tcPr/>
          <w:p>
            <w:pPr>
              <w:pStyle w:val="Compact"/>
              <w:jc w:val="left"/>
            </w:pPr>
            <w:r>
              <w:t xml:space="preserve">3,500</w:t>
            </w:r>
          </w:p>
        </w:tc>
        <w:tc>
          <w:tcPr/>
          <w:p>
            <w:pPr>
              <w:pStyle w:val="Compact"/>
              <w:jc w:val="left"/>
            </w:pPr>
            <w:r>
              <w:t xml:space="preserve">700,000</w:t>
            </w:r>
          </w:p>
        </w:tc>
      </w:tr>
      <w:tr>
        <w:tc>
          <w:tcPr>
            <w:gridSpan w:val="4"/>
          </w:tcPr>
          <w:p>
            <w:pPr>
              <w:pStyle w:val="Compact"/>
              <w:jc w:val="left"/>
            </w:pPr>
            <w:r>
              <w:rPr>
                <w:bCs/>
                <w:b/>
              </w:rPr>
              <w:t xml:space="preserve">GRAND TOTAL (before IVA 21%)</w:t>
            </w:r>
          </w:p>
        </w:tc>
        <w:tc>
          <w:tcPr/>
          <w:p>
            <w:pPr>
              <w:pStyle w:val="Compact"/>
              <w:jc w:val="left"/>
            </w:pPr>
            <w:r>
              <w:rPr>
                <w:bCs/>
                <w:b/>
              </w:rPr>
              <w:t xml:space="preserve">12,130,000</w:t>
            </w:r>
          </w:p>
        </w:tc>
      </w:tr>
      <w:tr>
        <w:tc>
          <w:tcPr>
            <w:gridSpan w:val="4"/>
          </w:tcPr>
          <w:p>
            <w:pPr>
              <w:pStyle w:val="Compact"/>
              <w:jc w:val="left"/>
            </w:pPr>
            <w:r>
              <w:rPr>
                <w:bCs/>
                <w:b/>
              </w:rPr>
              <w:t xml:space="preserve">IVA (21% – Argentine Value Added Tax)</w:t>
            </w:r>
          </w:p>
        </w:tc>
        <w:tc>
          <w:tcPr/>
          <w:p>
            <w:pPr>
              <w:pStyle w:val="Compact"/>
              <w:jc w:val="left"/>
            </w:pPr>
            <w:r>
              <w:rPr>
                <w:bCs/>
                <w:b/>
              </w:rPr>
              <w:t xml:space="preserve">2,547,300</w:t>
            </w:r>
          </w:p>
        </w:tc>
      </w:tr>
      <w:tr>
        <w:tc>
          <w:tcPr>
            <w:gridSpan w:val="4"/>
          </w:tcPr>
          <w:p>
            <w:pPr>
              <w:pStyle w:val="Compact"/>
              <w:jc w:val="left"/>
            </w:pPr>
            <w:r>
              <w:rPr>
                <w:bCs/>
                <w:b/>
              </w:rPr>
              <w:t xml:space="preserve">TOTAL AMOUNT DUE (ARS)</w:t>
            </w:r>
          </w:p>
        </w:tc>
        <w:tc>
          <w:tcPr/>
          <w:p>
            <w:pPr>
              <w:pStyle w:val="Compact"/>
              <w:jc w:val="left"/>
            </w:pPr>
            <w:r>
              <w:rPr>
                <w:bCs/>
                <w:b/>
              </w:rPr>
              <w:t xml:space="preserve">14,677,300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Scope of Engagement:</w:t>
      </w:r>
      <w:r>
        <w:t xml:space="preserve"> </w:t>
      </w:r>
      <w:r>
        <w:t xml:space="preserve">The Ophthalmologist shall provide all ophthalmic services listed in Section 4 within the clinical premises of Centro Médico Oftalmológico de Córdoba S.A., located in the city of Córdoba, Argentina. All services must be rendered in accordance with the professional standards established by the Colegio de Médicos de la Provincia de Córdoba and applicable Argentine national health regulations.</w:t>
      </w:r>
    </w:p>
    <w:p>
      <w:pPr>
        <w:numPr>
          <w:ilvl w:val="0"/>
          <w:numId w:val="1001"/>
        </w:numPr>
        <w:pStyle w:val="Compact"/>
      </w:pPr>
      <w:r>
        <w:rPr>
          <w:bCs/>
          <w:b/>
        </w:rPr>
        <w:t xml:space="preserve">Payment Terms:</w:t>
      </w:r>
      <w:r>
        <w:t xml:space="preserve"> </w:t>
      </w:r>
      <w:r>
        <w:t xml:space="preserve">Payment shall be made in two (2) equal installments of ARS 7,338,650 each. The first installment is due within fifteen (15) calendar days from the date of this Purchase Order. The second installment is due upon completion of all contracted services and submission of the final consolidated invoice. Payments shall be processed via bank transfer to the account designated by the Ophthalmologist.</w:t>
      </w:r>
    </w:p>
    <w:p>
      <w:pPr>
        <w:numPr>
          <w:ilvl w:val="0"/>
          <w:numId w:val="1001"/>
        </w:numPr>
        <w:pStyle w:val="Compact"/>
      </w:pPr>
      <w:r>
        <w:rPr>
          <w:bCs/>
          <w:b/>
        </w:rPr>
        <w:t xml:space="preserve">Performance Period:</w:t>
      </w:r>
      <w:r>
        <w:t xml:space="preserve"> </w:t>
      </w:r>
      <w:r>
        <w:t xml:space="preserve">The Ophthalmologist shall fulfill all obligations under this Purchase Order between July 1, 2025, and December 31, 2025, within the Province of Córdoba, Argentina.</w:t>
      </w:r>
    </w:p>
    <w:p>
      <w:pPr>
        <w:numPr>
          <w:ilvl w:val="0"/>
          <w:numId w:val="1001"/>
        </w:numPr>
        <w:pStyle w:val="Compact"/>
      </w:pPr>
      <w:r>
        <w:rPr>
          <w:bCs/>
          <w:b/>
        </w:rPr>
        <w:t xml:space="preserve">Professional Liability and Insurance:</w:t>
      </w:r>
      <w:r>
        <w:t xml:space="preserve"> </w:t>
      </w:r>
      <w:r>
        <w:t xml:space="preserve">The Ophthalmologist shall maintain valid professional liability insurance (seguro de responsabilidad civil profesional) with a minimum coverage of ARS 50,000,000, issued by an insurance company authorized to operate in Argentina. Proof of coverage must be provided prior to the commencement of services.</w:t>
      </w:r>
    </w:p>
    <w:p>
      <w:pPr>
        <w:numPr>
          <w:ilvl w:val="0"/>
          <w:numId w:val="1001"/>
        </w:numPr>
        <w:pStyle w:val="Compact"/>
      </w:pPr>
      <w:r>
        <w:rPr>
          <w:bCs/>
          <w:b/>
        </w:rPr>
        <w:t xml:space="preserve">Confidentiality:</w:t>
      </w:r>
      <w:r>
        <w:t xml:space="preserve"> </w:t>
      </w:r>
      <w:r>
        <w:t xml:space="preserve">The Ophthalmologist shall comply with all provisions of Argentine Law 25.326 (Personal Data Protection Law) and maintain strict confidentiality regarding all patient medical records and personal information processed during the execution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Ophthalmologist shall be compensated for all services rendered up to the effective date of termination, calculated pro-rata.</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Argentine Nation and the Province of Córdoba. Any disputes arising from this document shall be subject to the exclusive jurisdiction of the civil and commercial courts of the city of Córdoba, Argentina.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 mandates, or civil unrest affecting the Province of Córdoba, Argentina.</w:t>
      </w:r>
    </w:p>
    <w:p>
      <w:pPr>
        <w:numPr>
          <w:ilvl w:val="0"/>
          <w:numId w:val="1001"/>
        </w:numPr>
        <w:pStyle w:val="Compact"/>
      </w:pPr>
      <w:r>
        <w:rPr>
          <w:bCs/>
          <w:b/>
        </w:rPr>
        <w:t xml:space="preserve">Compliance with Argentine Tax Regulations:</w:t>
      </w:r>
      <w:r>
        <w:t xml:space="preserve"> </w:t>
      </w:r>
      <w:r>
        <w:t xml:space="preserve">The Ophthalmologist shall issue valid electronic invoices (facturas electrónicas) in compliance with the regulations of the Administración Federal de Ingresos Públicos (AFIP) of Argentina. All applicable taxes, including IVA, shall be clearly itemized on each invoice.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procurement of Ophthalmologist professional services in the Province of Córdoba, Argentina.</w:t>
      </w:r>
    </w:p>
    <w:p>
      <w:pPr>
        <w:pStyle w:val="BodyText"/>
      </w:pPr>
      <w:r>
        <w:rPr>
          <w:bCs/>
          <w:b/>
        </w:rPr>
        <w:t xml:space="preserve">For the Purchasing Entity:</w:t>
      </w:r>
    </w:p>
    <w:p>
      <w:pPr>
        <w:pStyle w:val="BodyText"/>
      </w:pPr>
      <w:r>
        <w:t xml:space="preserve">Centro Médico Oftalmológico de Córdoba S.A.</w:t>
      </w:r>
    </w:p>
    <w:p>
      <w:pPr>
        <w:pStyle w:val="BodyText"/>
      </w:pPr>
      <w:r>
        <w:t xml:space="preserve">Dr. Martín Herrera – Director of Procurement</w:t>
      </w:r>
    </w:p>
    <w:p>
      <w:pPr>
        <w:pStyle w:val="BodyText"/>
      </w:pPr>
      <w:r>
        <w:t xml:space="preserve">Date: _______________</w:t>
      </w:r>
    </w:p>
    <w:p>
      <w:pPr>
        <w:pStyle w:val="BodyText"/>
      </w:pPr>
      <w:r>
        <w:rPr>
          <w:bCs/>
          <w:b/>
        </w:rPr>
        <w:t xml:space="preserve">For the Service Provider:</w:t>
      </w:r>
    </w:p>
    <w:p>
      <w:pPr>
        <w:pStyle w:val="BodyText"/>
      </w:pPr>
      <w:r>
        <w:t xml:space="preserve">Dr. Lucía Fernández Ríos – Ophthalmologist</w:t>
      </w:r>
    </w:p>
    <w:p>
      <w:pPr>
        <w:pStyle w:val="BodyText"/>
      </w:pPr>
      <w:r>
        <w:t xml:space="preserve">MAT N° 28456712</w:t>
      </w:r>
    </w:p>
    <w:p>
      <w:pPr>
        <w:pStyle w:val="BodyText"/>
      </w:pPr>
      <w:r>
        <w:t xml:space="preserve">Date: _______________</w:t>
      </w:r>
    </w:p>
    <w:bookmarkEnd w:id="26"/>
    <w:p>
      <w:pPr>
        <w:pStyle w:val="BodyText"/>
      </w:pPr>
      <w:r>
        <w:t xml:space="preserve">This Purchase Order was issued in Córdoba, Argentina. Document reference: AC-OPH-2025-0047. For any inquiries regarding this Purchase Order, please contact the Procurement Department at compras@centrooftalmo.com.ar. This document is valid for a period of ninety (90) days from the date of issue. All services are to be performed within the jurisdiction of the Province of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Argentina Córdoba</dc:title>
  <dc:creator/>
  <dc:language>en</dc:language>
  <cp:keywords/>
  <dcterms:created xsi:type="dcterms:W3CDTF">2026-10-10T08:06:23Z</dcterms:created>
  <dcterms:modified xsi:type="dcterms:W3CDTF">2026-10-10T08:06:23Z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