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Practice</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rPr>
          <w:bCs/>
          <w:b/>
        </w:rPr>
        <w:t xml:space="preserve">Dr. Amir Hosseini Ophthalmology Center</w:t>
      </w:r>
    </w:p>
    <w:p>
      <w:pPr>
        <w:pStyle w:val="BodyText"/>
      </w:pPr>
      <w:r>
        <w:t xml:space="preserve">12, Valiasr Street, 16th Floor, Unit 4, Tehran, Iran</w:t>
      </w:r>
    </w:p>
    <w:p>
      <w:pPr>
        <w:pStyle w:val="BodyText"/>
      </w:pPr>
      <w:r>
        <w:t xml:space="preserve">Phone: +98-21-8876-5432 | Email: procurement@hosseinioptics.ir</w:t>
      </w:r>
    </w:p>
    <w:p>
      <w:pPr>
        <w:pStyle w:val="BodyText"/>
      </w:pPr>
      <w:r>
        <w:t xml:space="preserve">Iranian Medical License No. IR-MED-2019-44821 | Tax ID: 1024587639</w:t>
      </w:r>
    </w:p>
    <w:bookmarkEnd w:id="20"/>
    <w:p>
      <w:pPr>
        <w:pStyle w:val="BodyText"/>
      </w:pPr>
      <w:r>
        <w:rPr>
          <w:bCs/>
          <w:b/>
        </w:rPr>
        <w:t xml:space="preserve">Purchase Order No.:</w:t>
      </w:r>
      <w:r>
        <w:t xml:space="preserve"> </w:t>
      </w:r>
      <w:r>
        <w:t xml:space="preserve">PO-TEH-2025-00347</w:t>
      </w:r>
      <w:r>
        <w:br/>
      </w:r>
      <w:r>
        <w:rPr>
          <w:bCs/>
          <w:b/>
        </w:rPr>
        <w:t xml:space="preserve">Date of Issue:</w:t>
      </w:r>
      <w:r>
        <w:t xml:space="preserve"> </w:t>
      </w:r>
      <w:r>
        <w:t xml:space="preserve">14 June 2025 (24 Khordad 1404)</w:t>
      </w:r>
      <w:r>
        <w:br/>
      </w:r>
      <w:r>
        <w:rPr>
          <w:bCs/>
          <w:b/>
        </w:rPr>
        <w:t xml:space="preserve">Valid Until:</w:t>
      </w:r>
      <w:r>
        <w:t xml:space="preserve"> </w:t>
      </w:r>
      <w:r>
        <w:t xml:space="preserve">14 July 2025</w:t>
      </w:r>
    </w:p>
    <w:p>
      <w:pPr>
        <w:pStyle w:val="BodyText"/>
      </w:pPr>
      <w:r>
        <w:t xml:space="preserve">CONFIDENTIAL</w:t>
      </w:r>
      <w:r>
        <w:br/>
      </w:r>
      <w:r>
        <w:br/>
      </w:r>
      <w:r>
        <w:rPr>
          <w:bCs/>
          <w:b/>
        </w:rPr>
        <w:t xml:space="preserve">Priority:</w:t>
      </w:r>
      <w:r>
        <w:t xml:space="preserve"> </w:t>
      </w:r>
      <w:r>
        <w:t xml:space="preserve">Standard Delivery</w:t>
      </w:r>
      <w:r>
        <w:br/>
      </w:r>
      <w:r>
        <w:rPr>
          <w:bCs/>
          <w:b/>
        </w:rPr>
        <w:t xml:space="preserve">Department:</w:t>
      </w:r>
      <w:r>
        <w:t xml:space="preserve"> </w:t>
      </w:r>
      <w:r>
        <w:t xml:space="preserve">Clinical Ophthalmology</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MedTech International Supply Co.</w:t>
            </w:r>
          </w:p>
        </w:tc>
        <w:tc>
          <w:tcPr/>
          <w:p>
            <w:pPr>
              <w:pStyle w:val="Compact"/>
              <w:jc w:val="left"/>
            </w:pPr>
            <w:r>
              <w:rPr>
                <w:bCs/>
                <w:b/>
              </w:rPr>
              <w:t xml:space="preserve">Supplier ID:</w:t>
            </w:r>
            <w:r>
              <w:t xml:space="preserve"> </w:t>
            </w:r>
            <w:r>
              <w:t xml:space="preserve">SUP-IR-00912</w:t>
            </w:r>
          </w:p>
        </w:tc>
      </w:tr>
      <w:tr>
        <w:tc>
          <w:tcPr/>
          <w:p>
            <w:pPr>
              <w:pStyle w:val="Compact"/>
              <w:jc w:val="left"/>
            </w:pPr>
            <w:r>
              <w:rPr>
                <w:bCs/>
                <w:b/>
              </w:rPr>
              <w:t xml:space="preserve">Address:</w:t>
            </w:r>
            <w:r>
              <w:t xml:space="preserve"> </w:t>
            </w:r>
            <w:r>
              <w:t xml:space="preserve">45, Industrial Zone, Karaj, Alborz Province, Iran</w:t>
            </w:r>
          </w:p>
        </w:tc>
        <w:tc>
          <w:tcPr/>
          <w:p>
            <w:pPr>
              <w:pStyle w:val="Compact"/>
              <w:jc w:val="left"/>
            </w:pPr>
            <w:r>
              <w:rPr>
                <w:bCs/>
                <w:b/>
              </w:rPr>
              <w:t xml:space="preserve">Contact Person:</w:t>
            </w:r>
            <w:r>
              <w:t xml:space="preserve"> </w:t>
            </w:r>
            <w:r>
              <w:t xml:space="preserve">Mr. Reza Karimi</w:t>
            </w:r>
          </w:p>
        </w:tc>
      </w:tr>
      <w:tr>
        <w:tc>
          <w:tcPr/>
          <w:p>
            <w:pPr>
              <w:pStyle w:val="Compact"/>
              <w:jc w:val="left"/>
            </w:pPr>
            <w:r>
              <w:rPr>
                <w:bCs/>
                <w:b/>
              </w:rPr>
              <w:t xml:space="preserve">Phone:</w:t>
            </w:r>
            <w:r>
              <w:t xml:space="preserve"> </w:t>
            </w:r>
            <w:r>
              <w:t xml:space="preserve">+98-26-3456-7890</w:t>
            </w:r>
          </w:p>
        </w:tc>
        <w:tc>
          <w:tcPr/>
          <w:p>
            <w:pPr>
              <w:pStyle w:val="Compact"/>
              <w:jc w:val="left"/>
            </w:pPr>
            <w:r>
              <w:rPr>
                <w:bCs/>
                <w:b/>
              </w:rPr>
              <w:t xml:space="preserve">Email:</w:t>
            </w:r>
            <w:r>
              <w:t xml:space="preserve"> </w:t>
            </w:r>
            <w:r>
              <w:t xml:space="preserve">sales@medtech-iran.com</w:t>
            </w:r>
          </w:p>
        </w:tc>
      </w:tr>
      <w:tr>
        <w:tc>
          <w:tcPr/>
          <w:p>
            <w:pPr>
              <w:pStyle w:val="Compact"/>
              <w:jc w:val="left"/>
            </w:pPr>
            <w:r>
              <w:rPr>
                <w:bCs/>
                <w:b/>
              </w:rPr>
              <w:t xml:space="preserve">Tax Registration:</w:t>
            </w:r>
            <w:r>
              <w:t xml:space="preserve"> </w:t>
            </w:r>
            <w:r>
              <w:t xml:space="preserve">1098765432</w:t>
            </w:r>
          </w:p>
        </w:tc>
        <w:tc>
          <w:tcPr/>
          <w:p>
            <w:pPr>
              <w:pStyle w:val="Compact"/>
              <w:jc w:val="left"/>
            </w:pPr>
            <w:r>
              <w:rPr>
                <w:bCs/>
                <w:b/>
              </w:rPr>
              <w:t xml:space="preserve">Bank Account:</w:t>
            </w:r>
            <w:r>
              <w:t xml:space="preserve"> </w:t>
            </w:r>
            <w:r>
              <w:t xml:space="preserve">Bank Melli, Branch Tehran, IBAN: IR88 0540 0100 0000 1234 5678 90</w:t>
            </w:r>
          </w:p>
        </w:tc>
      </w:tr>
    </w:tbl>
    <w:p>
      <w:pPr>
        <w:pStyle w:val="BodyText"/>
      </w:pPr>
      <w:r>
        <w:t xml:space="preserve">PURCHASE ORDER LINE ITEMS – Ophthalmology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Topcon Autorefractor/keratometer ARK-530A – for routine refraction and corneal curvature assessment in the ophthalmologist's examination room</w:t>
            </w:r>
          </w:p>
        </w:tc>
        <w:tc>
          <w:tcPr/>
          <w:p>
            <w:pPr>
              <w:pStyle w:val="Compact"/>
              <w:jc w:val="left"/>
            </w:pPr>
            <w:r>
              <w:t xml:space="preserve">OPH-AR-530A</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Tehran, Valiasr St.</w:t>
            </w:r>
          </w:p>
        </w:tc>
      </w:tr>
      <w:tr>
        <w:tc>
          <w:tcPr/>
          <w:p>
            <w:pPr>
              <w:pStyle w:val="Compact"/>
              <w:jc w:val="left"/>
            </w:pPr>
            <w:r>
              <w:t xml:space="preserve">2</w:t>
            </w:r>
          </w:p>
        </w:tc>
        <w:tc>
          <w:tcPr/>
          <w:p>
            <w:pPr>
              <w:pStyle w:val="Compact"/>
              <w:jc w:val="left"/>
            </w:pPr>
            <w:r>
              <w:t xml:space="preserve">Heine Omega 200 Direct Ophthalmoscope – handheld diagnostic instrument for the ophthalmologist's fundus examinations</w:t>
            </w:r>
          </w:p>
        </w:tc>
        <w:tc>
          <w:tcPr/>
          <w:p>
            <w:pPr>
              <w:pStyle w:val="Compact"/>
              <w:jc w:val="left"/>
            </w:pPr>
            <w:r>
              <w:t xml:space="preserve">OPH-DS-200</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Tehran, Valiasr St.</w:t>
            </w:r>
          </w:p>
        </w:tc>
      </w:tr>
      <w:tr>
        <w:tc>
          <w:tcPr/>
          <w:p>
            <w:pPr>
              <w:pStyle w:val="Compact"/>
              <w:jc w:val="left"/>
            </w:pPr>
            <w:r>
              <w:t xml:space="preserve">3</w:t>
            </w:r>
          </w:p>
        </w:tc>
        <w:tc>
          <w:tcPr/>
          <w:p>
            <w:pPr>
              <w:pStyle w:val="Compact"/>
              <w:jc w:val="left"/>
            </w:pPr>
            <w:r>
              <w:t xml:space="preserve">Zeiss IOLMaster 700 Optical Biometer – for precise axial length measurement prior to cataract surgery performed by the ophthalmologist</w:t>
            </w:r>
          </w:p>
        </w:tc>
        <w:tc>
          <w:tcPr/>
          <w:p>
            <w:pPr>
              <w:pStyle w:val="Compact"/>
              <w:jc w:val="left"/>
            </w:pPr>
            <w:r>
              <w:t xml:space="preserve">OPH-IO-700</w:t>
            </w:r>
          </w:p>
        </w:tc>
        <w:tc>
          <w:tcPr/>
          <w:p>
            <w:pPr>
              <w:pStyle w:val="Compact"/>
              <w:jc w:val="left"/>
            </w:pPr>
            <w:r>
              <w:t xml:space="preserve">1</w:t>
            </w:r>
          </w:p>
        </w:tc>
        <w:tc>
          <w:tcPr/>
          <w:p>
            <w:pPr>
              <w:pStyle w:val="Compact"/>
              <w:jc w:val="left"/>
            </w:pPr>
            <w:r>
              <w:t xml:space="preserve">1,250,000,000</w:t>
            </w:r>
          </w:p>
        </w:tc>
        <w:tc>
          <w:tcPr/>
          <w:p>
            <w:pPr>
              <w:pStyle w:val="Compact"/>
              <w:jc w:val="left"/>
            </w:pPr>
            <w:r>
              <w:t xml:space="preserve">1,250,000,000</w:t>
            </w:r>
          </w:p>
        </w:tc>
        <w:tc>
          <w:tcPr/>
          <w:p>
            <w:pPr>
              <w:pStyle w:val="Compact"/>
              <w:jc w:val="left"/>
            </w:pPr>
            <w:r>
              <w:t xml:space="preserve">Tehran, Valiasr St.</w:t>
            </w:r>
          </w:p>
        </w:tc>
      </w:tr>
      <w:tr>
        <w:tc>
          <w:tcPr/>
          <w:p>
            <w:pPr>
              <w:pStyle w:val="Compact"/>
              <w:jc w:val="left"/>
            </w:pPr>
            <w:r>
              <w:t xml:space="preserve">4</w:t>
            </w:r>
          </w:p>
        </w:tc>
        <w:tc>
          <w:tcPr/>
          <w:p>
            <w:pPr>
              <w:pStyle w:val="Compact"/>
              <w:jc w:val="left"/>
            </w:pPr>
            <w:r>
              <w:t xml:space="preserve">Disposable sterile speculums (adult, 3 sizes) – 500 units per box, for slit-lamp biomicroscopy by the ophthalmologist</w:t>
            </w:r>
          </w:p>
        </w:tc>
        <w:tc>
          <w:tcPr/>
          <w:p>
            <w:pPr>
              <w:pStyle w:val="Compact"/>
              <w:jc w:val="left"/>
            </w:pPr>
            <w:r>
              <w:t xml:space="preserve">OPH-SP-AD3</w:t>
            </w:r>
          </w:p>
        </w:tc>
        <w:tc>
          <w:tcPr/>
          <w:p>
            <w:pPr>
              <w:pStyle w:val="Compact"/>
              <w:jc w:val="left"/>
            </w:pPr>
            <w:r>
              <w:t xml:space="preserve">20</w:t>
            </w:r>
          </w:p>
        </w:tc>
        <w:tc>
          <w:tcPr/>
          <w:p>
            <w:pPr>
              <w:pStyle w:val="Compact"/>
              <w:jc w:val="left"/>
            </w:pPr>
            <w:r>
              <w:t xml:space="preserve">3,200,000</w:t>
            </w:r>
          </w:p>
        </w:tc>
        <w:tc>
          <w:tcPr/>
          <w:p>
            <w:pPr>
              <w:pStyle w:val="Compact"/>
              <w:jc w:val="left"/>
            </w:pPr>
            <w:r>
              <w:t xml:space="preserve">64,000,000</w:t>
            </w:r>
          </w:p>
        </w:tc>
        <w:tc>
          <w:tcPr/>
          <w:p>
            <w:pPr>
              <w:pStyle w:val="Compact"/>
              <w:jc w:val="left"/>
            </w:pPr>
            <w:r>
              <w:t xml:space="preserve">Tehran, Valiasr St.</w:t>
            </w:r>
          </w:p>
        </w:tc>
      </w:tr>
      <w:tr>
        <w:tc>
          <w:tcPr/>
          <w:p>
            <w:pPr>
              <w:pStyle w:val="Compact"/>
              <w:jc w:val="left"/>
            </w:pPr>
            <w:r>
              <w:t xml:space="preserve">5</w:t>
            </w:r>
          </w:p>
        </w:tc>
        <w:tc>
          <w:tcPr/>
          <w:p>
            <w:pPr>
              <w:pStyle w:val="Compact"/>
              <w:jc w:val="left"/>
            </w:pPr>
            <w:r>
              <w:t xml:space="preserve">Fluorescein sodium 2% sterile eye drops, 5 ml vials – for corneal staining during ophthalmologist consultations</w:t>
            </w:r>
          </w:p>
        </w:tc>
        <w:tc>
          <w:tcPr/>
          <w:p>
            <w:pPr>
              <w:pStyle w:val="Compact"/>
              <w:jc w:val="left"/>
            </w:pPr>
            <w:r>
              <w:t xml:space="preserve">OPH-FL-2PCT</w:t>
            </w:r>
          </w:p>
        </w:tc>
        <w:tc>
          <w:tcPr/>
          <w:p>
            <w:pPr>
              <w:pStyle w:val="Compact"/>
              <w:jc w:val="left"/>
            </w:pPr>
            <w:r>
              <w:t xml:space="preserve">100</w:t>
            </w:r>
          </w:p>
        </w:tc>
        <w:tc>
          <w:tcPr/>
          <w:p>
            <w:pPr>
              <w:pStyle w:val="Compact"/>
              <w:jc w:val="left"/>
            </w:pPr>
            <w:r>
              <w:t xml:space="preserve">450,000</w:t>
            </w:r>
          </w:p>
        </w:tc>
        <w:tc>
          <w:tcPr/>
          <w:p>
            <w:pPr>
              <w:pStyle w:val="Compact"/>
              <w:jc w:val="left"/>
            </w:pPr>
            <w:r>
              <w:t xml:space="preserve">45,000,000</w:t>
            </w:r>
          </w:p>
        </w:tc>
        <w:tc>
          <w:tcPr/>
          <w:p>
            <w:pPr>
              <w:pStyle w:val="Compact"/>
              <w:jc w:val="left"/>
            </w:pPr>
            <w:r>
              <w:t xml:space="preserve">Tehran, Valiasr St.</w:t>
            </w:r>
          </w:p>
        </w:tc>
      </w:tr>
      <w:tr>
        <w:tc>
          <w:tcPr/>
          <w:p>
            <w:pPr>
              <w:pStyle w:val="Compact"/>
              <w:jc w:val="left"/>
            </w:pPr>
            <w:r>
              <w:t xml:space="preserve">6</w:t>
            </w:r>
          </w:p>
        </w:tc>
        <w:tc>
          <w:tcPr/>
          <w:p>
            <w:pPr>
              <w:pStyle w:val="Compact"/>
              <w:jc w:val="left"/>
            </w:pPr>
            <w:r>
              <w:t xml:space="preserve">Optical coherence tomography (OCT) replacement probe set – for the ophthalmologist's retinal imaging workstation</w:t>
            </w:r>
          </w:p>
        </w:tc>
        <w:tc>
          <w:tcPr/>
          <w:p>
            <w:pPr>
              <w:pStyle w:val="Compact"/>
              <w:jc w:val="left"/>
            </w:pPr>
            <w:r>
              <w:t xml:space="preserve">OPH-OC-PROBE</w:t>
            </w:r>
          </w:p>
        </w:tc>
        <w:tc>
          <w:tcPr/>
          <w:p>
            <w:pPr>
              <w:pStyle w:val="Compact"/>
              <w:jc w:val="left"/>
            </w:pPr>
            <w:r>
              <w:t xml:space="preserve">2</w:t>
            </w:r>
          </w:p>
        </w:tc>
        <w:tc>
          <w:tcPr/>
          <w:p>
            <w:pPr>
              <w:pStyle w:val="Compact"/>
              <w:jc w:val="left"/>
            </w:pPr>
            <w:r>
              <w:t xml:space="preserve">95,000,000</w:t>
            </w:r>
          </w:p>
        </w:tc>
        <w:tc>
          <w:tcPr/>
          <w:p>
            <w:pPr>
              <w:pStyle w:val="Compact"/>
              <w:jc w:val="left"/>
            </w:pPr>
            <w:r>
              <w:t xml:space="preserve">190,000,000</w:t>
            </w:r>
          </w:p>
        </w:tc>
        <w:tc>
          <w:tcPr/>
          <w:p>
            <w:pPr>
              <w:pStyle w:val="Compact"/>
              <w:jc w:val="left"/>
            </w:pPr>
            <w:r>
              <w:t xml:space="preserve">Tehran, Valiasr St.</w:t>
            </w:r>
          </w:p>
        </w:tc>
      </w:tr>
      <w:tr>
        <w:tc>
          <w:tcPr/>
          <w:p>
            <w:pPr>
              <w:pStyle w:val="Compact"/>
              <w:jc w:val="left"/>
            </w:pPr>
            <w:r>
              <w:t xml:space="preserve">7</w:t>
            </w:r>
          </w:p>
        </w:tc>
        <w:tc>
          <w:tcPr/>
          <w:p>
            <w:pPr>
              <w:pStyle w:val="Compact"/>
              <w:jc w:val="left"/>
            </w:pPr>
            <w:r>
              <w:t xml:space="preserve">Phacoemulsification handpiece with 2.75 mm cartridge – for cataract extraction procedures conducted by the ophthalmologist</w:t>
            </w:r>
          </w:p>
        </w:tc>
        <w:tc>
          <w:tcPr/>
          <w:p>
            <w:pPr>
              <w:pStyle w:val="Compact"/>
              <w:jc w:val="left"/>
            </w:pPr>
            <w:r>
              <w:t xml:space="preserve">OPH-PH-275</w:t>
            </w:r>
          </w:p>
        </w:tc>
        <w:tc>
          <w:tcPr/>
          <w:p>
            <w:pPr>
              <w:pStyle w:val="Compact"/>
              <w:jc w:val="left"/>
            </w:pPr>
            <w:r>
              <w:t xml:space="preserve">3</w:t>
            </w:r>
          </w:p>
        </w:tc>
        <w:tc>
          <w:tcPr/>
          <w:p>
            <w:pPr>
              <w:pStyle w:val="Compact"/>
              <w:jc w:val="left"/>
            </w:pPr>
            <w:r>
              <w:t xml:space="preserve">120,000,000</w:t>
            </w:r>
          </w:p>
        </w:tc>
        <w:tc>
          <w:tcPr/>
          <w:p>
            <w:pPr>
              <w:pStyle w:val="Compact"/>
              <w:jc w:val="left"/>
            </w:pPr>
            <w:r>
              <w:t xml:space="preserve">360,000,000</w:t>
            </w:r>
          </w:p>
        </w:tc>
        <w:tc>
          <w:tcPr/>
          <w:p>
            <w:pPr>
              <w:pStyle w:val="Compact"/>
              <w:jc w:val="left"/>
            </w:pPr>
            <w:r>
              <w:t xml:space="preserve">Tehran, Valiasr St.</w:t>
            </w:r>
          </w:p>
        </w:tc>
      </w:tr>
      <w:tr>
        <w:tc>
          <w:tcPr/>
          <w:p>
            <w:pPr>
              <w:pStyle w:val="Compact"/>
              <w:jc w:val="left"/>
            </w:pPr>
            <w:r>
              <w:t xml:space="preserve">8</w:t>
            </w:r>
          </w:p>
        </w:tc>
        <w:tc>
          <w:tcPr/>
          <w:p>
            <w:pPr>
              <w:pStyle w:val="Compact"/>
              <w:jc w:val="left"/>
            </w:pPr>
            <w:r>
              <w:t xml:space="preserve">Artificial tears lubricating eye drops (preservative-free), 10 ml – patient aftercare supply for post-operative ophthalmologist follow-ups</w:t>
            </w:r>
          </w:p>
        </w:tc>
        <w:tc>
          <w:tcPr/>
          <w:p>
            <w:pPr>
              <w:pStyle w:val="Compact"/>
              <w:jc w:val="left"/>
            </w:pPr>
            <w:r>
              <w:t xml:space="preserve">OPH-AT-10ML</w:t>
            </w:r>
          </w:p>
        </w:tc>
        <w:tc>
          <w:tcPr/>
          <w:p>
            <w:pPr>
              <w:pStyle w:val="Compact"/>
              <w:jc w:val="left"/>
            </w:pPr>
            <w:r>
              <w:t xml:space="preserve">200</w:t>
            </w:r>
          </w:p>
        </w:tc>
        <w:tc>
          <w:tcPr/>
          <w:p>
            <w:pPr>
              <w:pStyle w:val="Compact"/>
              <w:jc w:val="left"/>
            </w:pPr>
            <w:r>
              <w:t xml:space="preserve">850,000</w:t>
            </w:r>
          </w:p>
        </w:tc>
        <w:tc>
          <w:tcPr/>
          <w:p>
            <w:pPr>
              <w:pStyle w:val="Compact"/>
              <w:jc w:val="left"/>
            </w:pPr>
            <w:r>
              <w:t xml:space="preserve">170,000,000</w:t>
            </w:r>
          </w:p>
        </w:tc>
        <w:tc>
          <w:tcPr/>
          <w:p>
            <w:pPr>
              <w:pStyle w:val="Compact"/>
              <w:jc w:val="left"/>
            </w:pPr>
            <w:r>
              <w:t xml:space="preserve">Tehran, Valiasr St.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2,438,000,000 IRR</w:t>
            </w:r>
          </w:p>
        </w:tc>
      </w:tr>
      <w:tr>
        <w:tc>
          <w:tcPr/>
          <w:p>
            <w:pPr>
              <w:pStyle w:val="Compact"/>
              <w:jc w:val="left"/>
            </w:pPr>
            <w:r>
              <w:t xml:space="preserve">VAT (10% – Iran National Tax Organization):</w:t>
            </w:r>
          </w:p>
        </w:tc>
        <w:tc>
          <w:tcPr/>
          <w:p>
            <w:pPr>
              <w:pStyle w:val="Compact"/>
              <w:jc w:val="left"/>
            </w:pPr>
            <w:r>
              <w:t xml:space="preserve">243,800,000 IRR</w:t>
            </w:r>
          </w:p>
        </w:tc>
      </w:tr>
      <w:tr>
        <w:tc>
          <w:tcPr/>
          <w:p>
            <w:pPr>
              <w:pStyle w:val="Compact"/>
              <w:jc w:val="left"/>
            </w:pPr>
            <w:r>
              <w:t xml:space="preserve">Shipping &amp; Handling (Karaj to Tehran):</w:t>
            </w:r>
          </w:p>
        </w:tc>
        <w:tc>
          <w:tcPr/>
          <w:p>
            <w:pPr>
              <w:pStyle w:val="Compact"/>
              <w:jc w:val="left"/>
            </w:pPr>
            <w:r>
              <w:t xml:space="preserve">12,000,000 IRR</w:t>
            </w:r>
          </w:p>
        </w:tc>
      </w:tr>
      <w:tr>
        <w:tc>
          <w:tcPr/>
          <w:p>
            <w:pPr>
              <w:pStyle w:val="Compact"/>
              <w:jc w:val="left"/>
            </w:pPr>
            <w:r>
              <w:t xml:space="preserve">GRAND TOTAL:</w:t>
            </w:r>
          </w:p>
        </w:tc>
        <w:tc>
          <w:tcPr/>
          <w:p>
            <w:pPr>
              <w:pStyle w:val="Compact"/>
              <w:jc w:val="left"/>
            </w:pPr>
            <w:r>
              <w:t xml:space="preserve">2,693,800,000 IRR</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listed in this Purchase Order shall be delivered to the Dr. Amir Hosseini Ophthalmology Center located at 12, Valiasr Street, 16th Floor, Unit 4, Tehran, Iran. Delivery must be completed within 21 calendar days from the date of this Purchase Order. The supplier is responsible for all transit insurance and packaging suitable for precision ophthalmology instruments.</w:t>
      </w:r>
    </w:p>
    <w:p>
      <w:pPr>
        <w:numPr>
          <w:ilvl w:val="0"/>
          <w:numId w:val="1001"/>
        </w:numPr>
        <w:pStyle w:val="Compact"/>
      </w:pPr>
      <w:r>
        <w:rPr>
          <w:bCs/>
          <w:b/>
        </w:rPr>
        <w:t xml:space="preserve">Payment Terms:</w:t>
      </w:r>
      <w:r>
        <w:t xml:space="preserve"> </w:t>
      </w:r>
      <w:r>
        <w:t xml:space="preserve">Payment shall be made in two installments: 40% (1,077,520,000 IRR) upon confirmation of this Purchase Order via bank transfer to the supplier's designated account, and the remaining 60% (1,616,280,000 IRR) within 15 business days after successful delivery, installation, and acceptance inspection of all ophthalmology equipment by the ophthalmologist and the center's biomedical engineering team.</w:t>
      </w:r>
    </w:p>
    <w:p>
      <w:pPr>
        <w:numPr>
          <w:ilvl w:val="0"/>
          <w:numId w:val="1001"/>
        </w:numPr>
        <w:pStyle w:val="Compact"/>
      </w:pPr>
      <w:r>
        <w:rPr>
          <w:bCs/>
          <w:b/>
        </w:rPr>
        <w:t xml:space="preserve">Warranty:</w:t>
      </w:r>
      <w:r>
        <w:t xml:space="preserve"> </w:t>
      </w:r>
      <w:r>
        <w:t xml:space="preserve">All capital ophthalmology equipment (items 1, 3, 6, and 7) shall carry a minimum 24-month manufacturer's warranty covering parts and labor. Consumable supplies (items 2, 4, 5, and 8) are non-returnable once opened. The ophthalmologist reserves the right to reject any item that does not meet the specifications stated in this Purchase Order.</w:t>
      </w:r>
    </w:p>
    <w:p>
      <w:pPr>
        <w:numPr>
          <w:ilvl w:val="0"/>
          <w:numId w:val="1001"/>
        </w:numPr>
        <w:pStyle w:val="Compact"/>
      </w:pPr>
      <w:r>
        <w:rPr>
          <w:bCs/>
          <w:b/>
        </w:rPr>
        <w:t xml:space="preserve">Regulatory Compliance:</w:t>
      </w:r>
      <w:r>
        <w:t xml:space="preserve"> </w:t>
      </w:r>
      <w:r>
        <w:t xml:space="preserve">The supplier guarantees that all ophthalmology devices and pharmaceutical supplies comply with the regulations of the Iranian Food and Drug Administration (IFDA) and the Ministry of Health and Medical Education of the Islamic Republic of Iran. Valid IFDA registration certificates must accompany each shipment.</w:t>
      </w:r>
    </w:p>
    <w:p>
      <w:pPr>
        <w:numPr>
          <w:ilvl w:val="0"/>
          <w:numId w:val="1001"/>
        </w:numPr>
        <w:pStyle w:val="Compact"/>
      </w:pPr>
      <w:r>
        <w:rPr>
          <w:bCs/>
          <w:b/>
        </w:rPr>
        <w:t xml:space="preserve">Installation &amp; Training:</w:t>
      </w:r>
      <w:r>
        <w:t xml:space="preserve"> </w:t>
      </w:r>
      <w:r>
        <w:t xml:space="preserve">The supplier shall provide on-site installation of the IOLMaster 700 and OCT probe systems at the Tehran facility. A minimum of 8 hours of hands-on training for the ophthalmologist and two clinical assistants is included at no additional cost.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affecting international medical supply chains, or civil unrest in the Tehran metropolitan area.</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Islamic Republic of Iran. Any disputes shall be resolved through the competent commercial courts of Tehran, Iran.</w:t>
      </w:r>
    </w:p>
    <w:p>
      <w:pPr>
        <w:numPr>
          <w:ilvl w:val="0"/>
          <w:numId w:val="1001"/>
        </w:numPr>
        <w:pStyle w:val="Compact"/>
      </w:pPr>
      <w:r>
        <w:rPr>
          <w:bCs/>
          <w:b/>
        </w:rPr>
        <w:t xml:space="preserve">Confidentiality:</w:t>
      </w:r>
      <w:r>
        <w:t xml:space="preserve"> </w:t>
      </w:r>
      <w:r>
        <w:t xml:space="preserve">All patient data, clinical protocols, and operational details of the ophthalmologist's practice in Tehran shall remain strictly confidential. The supplier shall not disclose any information obtained during the fulfillment of this Purchase Order to third parties.</w:t>
      </w:r>
    </w:p>
    <w:p>
      <w:pPr>
        <w:pStyle w:val="FirstParagraph"/>
      </w:pPr>
      <w:r>
        <w:t xml:space="preserve">AUTHORIZATION &amp; SIGNATURES</w:t>
      </w:r>
    </w:p>
    <w:p>
      <w:pPr>
        <w:pStyle w:val="BodyText"/>
      </w:pPr>
      <w:r>
        <w:rPr>
          <w:bCs/>
          <w:b/>
        </w:rPr>
        <w:t xml:space="preserve">Prepared by (Buyer):</w:t>
      </w:r>
    </w:p>
    <w:p>
      <w:pPr>
        <w:pStyle w:val="BodyText"/>
      </w:pPr>
      <w:r>
        <w:t xml:space="preserve">Dr. Amir Hosseini, MD, PhD</w:t>
      </w:r>
      <w:r>
        <w:br/>
      </w:r>
      <w:r>
        <w:t xml:space="preserve">Ophthalmologist &amp; Center Director</w:t>
      </w:r>
      <w:r>
        <w:br/>
      </w:r>
      <w:r>
        <w:t xml:space="preserve">Date: _______________</w:t>
      </w:r>
    </w:p>
    <w:p>
      <w:pPr>
        <w:pStyle w:val="BodyText"/>
      </w:pPr>
      <w:r>
        <w:rPr>
          <w:bCs/>
          <w:b/>
        </w:rPr>
        <w:t xml:space="preserve">Accepted by (Supplier):</w:t>
      </w:r>
    </w:p>
    <w:p>
      <w:pPr>
        <w:pStyle w:val="BodyText"/>
      </w:pPr>
      <w:r>
        <w:t xml:space="preserve">Mr. Reza Karimi</w:t>
      </w:r>
      <w:r>
        <w:br/>
      </w:r>
      <w:r>
        <w:t xml:space="preserve">Sales Manager, MedTech International Supply Co.</w:t>
      </w:r>
      <w:r>
        <w:br/>
      </w:r>
      <w:r>
        <w:t xml:space="preserve">Date: _______________</w:t>
      </w:r>
    </w:p>
    <w:p>
      <w:pPr>
        <w:pStyle w:val="BodyText"/>
      </w:pPr>
      <w:r>
        <w:t xml:space="preserve">This Purchase Order (PO-TEH-2025-00347) is issued by Dr. Amir Hosseini Ophthalmology Center, Tehran, Iran, for the procurement of ophthalmology equipment and clinical supplies. This document is valid only when signed and stamped by both parties. Unauthorized reproduction is prohibited under Iranian commercial law.</w:t>
      </w:r>
    </w:p>
    <w:p>
      <w:pPr>
        <w:pStyle w:val="BodyText"/>
      </w:pPr>
      <w:r>
        <w:t xml:space="preserve">Page 1 of 1 | Generated: 14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Practice - Tehran, Iran</dc:title>
  <dc:creator/>
  <dc:language>en</dc:language>
  <cp:keywords/>
  <dcterms:created xsi:type="dcterms:W3CDTF">2026-10-10T03:31:59Z</dcterms:created>
  <dcterms:modified xsi:type="dcterms:W3CDTF">2026-10-10T03:31:59Z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