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Practice</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2"/>
      </w:pPr>
      <w:r>
        <w:t xml:space="preserve">Purchase Order</w:t>
      </w:r>
    </w:p>
    <w:p>
      <w:pPr>
        <w:pStyle w:val="FirstParagraph"/>
      </w:pPr>
      <w:r>
        <w:rPr>
          <w:bCs/>
          <w:b/>
        </w:rPr>
        <w:t xml:space="preserve">PO No.:</w:t>
      </w:r>
      <w:r>
        <w:t xml:space="preserve"> </w:t>
      </w:r>
      <w:r>
        <w:t xml:space="preserve">IL-TLV-OPH-2025-0472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bookmarkEnd w:id="20"/>
    <w:bookmarkStart w:id="21" w:name="purchase-order-1"/>
    <w:p>
      <w:pPr>
        <w:pStyle w:val="Heading1"/>
      </w:pPr>
      <w:r>
        <w:t xml:space="preserve">Purchase Order</w:t>
      </w:r>
    </w:p>
    <w:p>
      <w:pPr>
        <w:pStyle w:val="FirstParagraph"/>
      </w:pPr>
      <w:r>
        <w:rPr>
          <w:bCs/>
          <w:b/>
        </w:rPr>
        <w:t xml:space="preserve">Issued By:</w:t>
      </w:r>
      <w:r>
        <w:t xml:space="preserve"> </w:t>
      </w:r>
      <w:r>
        <w:t xml:space="preserve">Dr. Miriam Levi, MD – Lead Ophthalmologist</w:t>
      </w:r>
    </w:p>
    <w:p>
      <w:pPr>
        <w:pStyle w:val="BodyText"/>
      </w:pPr>
      <w:r>
        <w:rPr>
          <w:bCs/>
          <w:b/>
        </w:rPr>
        <w:t xml:space="preserve">Practice:</w:t>
      </w:r>
      <w:r>
        <w:t xml:space="preserve"> </w:t>
      </w:r>
      <w:r>
        <w:t xml:space="preserve">Tel Aviv Vision &amp; Eye Care Center</w:t>
      </w:r>
    </w:p>
    <w:p>
      <w:pPr>
        <w:pStyle w:val="BodyText"/>
      </w:pPr>
      <w:r>
        <w:rPr>
          <w:bCs/>
          <w:b/>
        </w:rPr>
        <w:t xml:space="preserve">Address:</w:t>
      </w:r>
      <w:r>
        <w:t xml:space="preserve"> </w:t>
      </w:r>
      <w:r>
        <w:t xml:space="preserve">45 Dizengoff Street, Tel Aviv-Yafo, Israel 6300000</w:t>
      </w:r>
    </w:p>
    <w:p>
      <w:pPr>
        <w:pStyle w:val="BodyText"/>
      </w:pPr>
      <w:r>
        <w:rPr>
          <w:bCs/>
          <w:b/>
        </w:rPr>
        <w:t xml:space="preserve">Phone:</w:t>
      </w:r>
      <w:r>
        <w:t xml:space="preserve"> </w:t>
      </w:r>
      <w:r>
        <w:t xml:space="preserve">+972-3-621-4488  | </w:t>
      </w:r>
      <w:r>
        <w:t xml:space="preserve"> </w:t>
      </w:r>
      <w:r>
        <w:rPr>
          <w:bCs/>
          <w:b/>
        </w:rPr>
        <w:t xml:space="preserve">Email:</w:t>
      </w:r>
      <w:r>
        <w:t xml:space="preserve"> </w:t>
      </w:r>
      <w:r>
        <w:t xml:space="preserve">procurement@tlvvision.co.il</w:t>
      </w:r>
    </w:p>
    <w:bookmarkEnd w:id="21"/>
    <w:bookmarkStart w:id="22" w:name="supplier-vendor-information"/>
    <w:p>
      <w:pPr>
        <w:pStyle w:val="Heading3"/>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MedTech Ophthalmic Solutions Ltd.</w:t>
            </w:r>
          </w:p>
        </w:tc>
      </w:tr>
      <w:tr>
        <w:tc>
          <w:tcPr/>
          <w:p>
            <w:pPr>
              <w:pStyle w:val="Compact"/>
              <w:jc w:val="left"/>
            </w:pPr>
            <w:r>
              <w:rPr>
                <w:bCs/>
                <w:b/>
              </w:rPr>
              <w:t xml:space="preserve">Address:</w:t>
            </w:r>
          </w:p>
        </w:tc>
        <w:tc>
          <w:tcPr/>
          <w:p>
            <w:pPr>
              <w:pStyle w:val="Compact"/>
              <w:jc w:val="left"/>
            </w:pPr>
            <w:r>
              <w:t xml:space="preserve">12 HaYarkon Industrial Zone, Petah Tikva, Israel 4910000</w:t>
            </w:r>
          </w:p>
        </w:tc>
      </w:tr>
      <w:tr>
        <w:tc>
          <w:tcPr/>
          <w:p>
            <w:pPr>
              <w:pStyle w:val="Compact"/>
              <w:jc w:val="left"/>
            </w:pPr>
            <w:r>
              <w:rPr>
                <w:bCs/>
                <w:b/>
              </w:rPr>
              <w:t xml:space="preserve">VAT Number:</w:t>
            </w:r>
          </w:p>
        </w:tc>
        <w:tc>
          <w:tcPr/>
          <w:p>
            <w:pPr>
              <w:pStyle w:val="Compact"/>
              <w:jc w:val="left"/>
            </w:pPr>
            <w:r>
              <w:t xml:space="preserve">51-804-332-19</w:t>
            </w:r>
          </w:p>
        </w:tc>
      </w:tr>
      <w:tr>
        <w:tc>
          <w:tcPr/>
          <w:p>
            <w:pPr>
              <w:pStyle w:val="Compact"/>
              <w:jc w:val="left"/>
            </w:pPr>
            <w:r>
              <w:rPr>
                <w:bCs/>
                <w:b/>
              </w:rPr>
              <w:t xml:space="preserve">Contact Person:</w:t>
            </w:r>
          </w:p>
        </w:tc>
        <w:tc>
          <w:tcPr/>
          <w:p>
            <w:pPr>
              <w:pStyle w:val="Compact"/>
              <w:jc w:val="left"/>
            </w:pPr>
            <w:r>
              <w:t xml:space="preserve">Mr. David Rosen, Sales Director</w:t>
            </w:r>
          </w:p>
        </w:tc>
      </w:tr>
      <w:tr>
        <w:tc>
          <w:tcPr/>
          <w:p>
            <w:pPr>
              <w:pStyle w:val="Compact"/>
              <w:jc w:val="left"/>
            </w:pPr>
            <w:r>
              <w:rPr>
                <w:bCs/>
                <w:b/>
              </w:rPr>
              <w:t xml:space="preserve">Phone / Email:</w:t>
            </w:r>
          </w:p>
        </w:tc>
        <w:tc>
          <w:tcPr/>
          <w:p>
            <w:pPr>
              <w:pStyle w:val="Compact"/>
              <w:jc w:val="left"/>
            </w:pPr>
            <w:r>
              <w:t xml:space="preserve">+972-3-840-7722 / sales@medtechophthalmic.co.il</w:t>
            </w:r>
          </w:p>
        </w:tc>
      </w:tr>
    </w:tbl>
    <w:bookmarkEnd w:id="22"/>
    <w:bookmarkStart w:id="23" w:name="X764507a123d9b1b1fa9c03d7d38c6b90ec9ba36"/>
    <w:p>
      <w:pPr>
        <w:pStyle w:val="Heading3"/>
      </w:pPr>
      <w:r>
        <w:t xml:space="preserve">Order Details – Ophthalmologist Equipment &amp; Supplies</w:t>
      </w:r>
    </w:p>
    <w:p>
      <w:pPr>
        <w:pStyle w:val="FirstParagraph"/>
      </w:pPr>
      <w:r>
        <w:t xml:space="preserve">This</w:t>
      </w:r>
      <w:r>
        <w:t xml:space="preserve"> </w:t>
      </w:r>
      <w:r>
        <w:t xml:space="preserve">Purchase Order</w:t>
      </w:r>
      <w:r>
        <w:t xml:space="preserve"> </w:t>
      </w:r>
      <w:r>
        <w:t xml:space="preserve">is issued by the undersigned</w:t>
      </w:r>
      <w:r>
        <w:t xml:space="preserve"> </w:t>
      </w:r>
      <w:r>
        <w:t xml:space="preserve">Ophthalmologist</w:t>
      </w:r>
      <w:r>
        <w:t xml:space="preserve"> </w:t>
      </w:r>
      <w:r>
        <w:t xml:space="preserve">and authorized procurement officer of the Tel Aviv Vision &amp; Eye Care Center, a licensed ophthalmology practice operating in</w:t>
      </w:r>
      <w:r>
        <w:t xml:space="preserve"> </w:t>
      </w:r>
      <w:r>
        <w:t xml:space="preserve">Israel Tel Aviv</w:t>
      </w:r>
      <w:r>
        <w:t xml:space="preserve">. The items listed below are required for the continued operation, patient care, and diagnostic capabilities of our ophthalmologist-led clinic. All products must comply with the Israeli Ministry of Health medical device regulations and CE/ISO certification standards applicable in the State of Israel.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Topcon TRC-NW7S Fundus Camera – Ophthalmologist Diagnostic Imaging System</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Zeiss IOLMaster 700 Biometer – Refractive Surgery Measurement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03</w:t>
            </w:r>
          </w:p>
        </w:tc>
        <w:tc>
          <w:tcPr/>
          <w:p>
            <w:pPr>
              <w:pStyle w:val="Compact"/>
              <w:jc w:val="left"/>
            </w:pPr>
            <w:r>
              <w:t xml:space="preserve">Heine Omega 200 Direct Ophthalmoscope – Ophthalmologist Examination Set</w:t>
            </w:r>
          </w:p>
        </w:tc>
        <w:tc>
          <w:tcPr/>
          <w:p>
            <w:pPr>
              <w:pStyle w:val="Compact"/>
              <w:jc w:val="left"/>
            </w:pPr>
            <w:r>
              <w:t xml:space="preserve">12</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Visine Ophthalmic Solution 0.5% – 30ml Bottles (Patient Dispensing)</w:t>
            </w:r>
          </w:p>
        </w:tc>
        <w:tc>
          <w:tcPr/>
          <w:p>
            <w:pPr>
              <w:pStyle w:val="Compact"/>
              <w:jc w:val="left"/>
            </w:pPr>
            <w:r>
              <w:t xml:space="preserve">200</w:t>
            </w:r>
          </w:p>
        </w:tc>
        <w:tc>
          <w:tcPr/>
          <w:p>
            <w:pPr>
              <w:pStyle w:val="Compact"/>
              <w:jc w:val="left"/>
            </w:pPr>
            <w:r>
              <w:t xml:space="preserve">Bottle</w:t>
            </w:r>
          </w:p>
        </w:tc>
        <w:tc>
          <w:tcPr/>
          <w:p>
            <w:pPr>
              <w:pStyle w:val="Compact"/>
              <w:jc w:val="left"/>
            </w:pPr>
            <w:r>
              <w:t xml:space="preserve">42.50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Single-Use Intraocular Lens (IOL) – AcrySof IQ SN60AT, 20.0D</w:t>
            </w:r>
          </w:p>
        </w:tc>
        <w:tc>
          <w:tcPr/>
          <w:p>
            <w:pPr>
              <w:pStyle w:val="Compact"/>
              <w:jc w:val="left"/>
            </w:pPr>
            <w:r>
              <w:t xml:space="preserve">150</w:t>
            </w:r>
          </w:p>
        </w:tc>
        <w:tc>
          <w:tcPr/>
          <w:p>
            <w:pPr>
              <w:pStyle w:val="Compact"/>
              <w:jc w:val="left"/>
            </w:pPr>
            <w:r>
              <w:t xml:space="preserve">Unit</w:t>
            </w:r>
          </w:p>
        </w:tc>
        <w:tc>
          <w:tcPr/>
          <w:p>
            <w:pPr>
              <w:pStyle w:val="Compact"/>
              <w:jc w:val="left"/>
            </w:pPr>
            <w:r>
              <w:t xml:space="preserve">380.00</w:t>
            </w:r>
          </w:p>
        </w:tc>
        <w:tc>
          <w:tcPr/>
          <w:p>
            <w:pPr>
              <w:pStyle w:val="Compact"/>
              <w:jc w:val="left"/>
            </w:pPr>
            <w:r>
              <w:t xml:space="preserve">57,000.00</w:t>
            </w:r>
          </w:p>
        </w:tc>
      </w:tr>
      <w:tr>
        <w:tc>
          <w:tcPr/>
          <w:p>
            <w:pPr>
              <w:pStyle w:val="Compact"/>
              <w:jc w:val="left"/>
            </w:pPr>
            <w:r>
              <w:t xml:space="preserve">06</w:t>
            </w:r>
          </w:p>
        </w:tc>
        <w:tc>
          <w:tcPr/>
          <w:p>
            <w:pPr>
              <w:pStyle w:val="Compact"/>
              <w:jc w:val="left"/>
            </w:pPr>
            <w:r>
              <w:t xml:space="preserve">Phacoemulsification Handpiece – Alcon Infiniti 360 System</w:t>
            </w:r>
          </w:p>
        </w:tc>
        <w:tc>
          <w:tcPr/>
          <w:p>
            <w:pPr>
              <w:pStyle w:val="Compact"/>
              <w:jc w:val="left"/>
            </w:pPr>
            <w:r>
              <w:t xml:space="preserve">2</w:t>
            </w:r>
          </w:p>
        </w:tc>
        <w:tc>
          <w:tcPr/>
          <w:p>
            <w:pPr>
              <w:pStyle w:val="Compact"/>
              <w:jc w:val="left"/>
            </w:pPr>
            <w:r>
              <w:t xml:space="preserve">Unit</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07</w:t>
            </w:r>
          </w:p>
        </w:tc>
        <w:tc>
          <w:tcPr/>
          <w:p>
            <w:pPr>
              <w:pStyle w:val="Compact"/>
              <w:jc w:val="left"/>
            </w:pPr>
            <w:r>
              <w:t xml:space="preserve">Optical Coherence Tomography (OCT) Consumables – Annual Pack</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08</w:t>
            </w:r>
          </w:p>
        </w:tc>
        <w:tc>
          <w:tcPr/>
          <w:p>
            <w:pPr>
              <w:pStyle w:val="Compact"/>
              <w:jc w:val="left"/>
            </w:pPr>
            <w:r>
              <w:t xml:space="preserve">Sterile Surgical Gowns &amp; Gloves – Ophthalmologist OR Kit (Case of 50)</w:t>
            </w:r>
          </w:p>
        </w:tc>
        <w:tc>
          <w:tcPr/>
          <w:p>
            <w:pPr>
              <w:pStyle w:val="Compact"/>
              <w:jc w:val="left"/>
            </w:pPr>
            <w:r>
              <w:t xml:space="preserve">10</w:t>
            </w:r>
          </w:p>
        </w:tc>
        <w:tc>
          <w:tcPr/>
          <w:p>
            <w:pPr>
              <w:pStyle w:val="Compact"/>
              <w:jc w:val="left"/>
            </w:pPr>
            <w:r>
              <w:t xml:space="preserve">Case</w:t>
            </w:r>
          </w:p>
        </w:tc>
        <w:tc>
          <w:tcPr/>
          <w:p>
            <w:pPr>
              <w:pStyle w:val="Compact"/>
              <w:jc w:val="left"/>
            </w:pPr>
            <w:r>
              <w:t xml:space="preserve">620.00</w:t>
            </w:r>
          </w:p>
        </w:tc>
        <w:tc>
          <w:tcPr/>
          <w:p>
            <w:pPr>
              <w:pStyle w:val="Compact"/>
              <w:jc w:val="left"/>
            </w:pPr>
            <w:r>
              <w:t xml:space="preserve">6,200.00</w:t>
            </w:r>
          </w:p>
        </w:tc>
      </w:tr>
      <w:tr>
        <w:tc>
          <w:tcPr/>
          <w:p>
            <w:pPr>
              <w:pStyle w:val="Compact"/>
              <w:jc w:val="left"/>
            </w:pPr>
            <w:r>
              <w:t xml:space="preserve">09</w:t>
            </w:r>
          </w:p>
        </w:tc>
        <w:tc>
          <w:tcPr/>
          <w:p>
            <w:pPr>
              <w:pStyle w:val="Compact"/>
              <w:jc w:val="left"/>
            </w:pPr>
            <w:r>
              <w:t xml:space="preserve">Perioperative Antibiotic Drops – Moxifloxacin 0.5% (Post-Surgical)</w:t>
            </w:r>
          </w:p>
        </w:tc>
        <w:tc>
          <w:tcPr/>
          <w:p>
            <w:pPr>
              <w:pStyle w:val="Compact"/>
              <w:jc w:val="left"/>
            </w:pPr>
            <w:r>
              <w:t xml:space="preserve">300</w:t>
            </w:r>
          </w:p>
        </w:tc>
        <w:tc>
          <w:tcPr/>
          <w:p>
            <w:pPr>
              <w:pStyle w:val="Compact"/>
              <w:jc w:val="left"/>
            </w:pPr>
            <w:r>
              <w:t xml:space="preserve">Vial</w:t>
            </w:r>
          </w:p>
        </w:tc>
        <w:tc>
          <w:tcPr/>
          <w:p>
            <w:pPr>
              <w:pStyle w:val="Compact"/>
              <w:jc w:val="left"/>
            </w:pPr>
            <w:r>
              <w:t xml:space="preserve">28.75</w:t>
            </w:r>
          </w:p>
        </w:tc>
        <w:tc>
          <w:tcPr/>
          <w:p>
            <w:pPr>
              <w:pStyle w:val="Compact"/>
              <w:jc w:val="left"/>
            </w:pPr>
            <w:r>
              <w:t xml:space="preserve">8,625.00</w:t>
            </w:r>
          </w:p>
        </w:tc>
      </w:tr>
      <w:tr>
        <w:tc>
          <w:tcPr/>
          <w:p>
            <w:pPr>
              <w:pStyle w:val="Compact"/>
              <w:jc w:val="left"/>
            </w:pPr>
            <w:r>
              <w:t xml:space="preserve">10</w:t>
            </w:r>
          </w:p>
        </w:tc>
        <w:tc>
          <w:tcPr/>
          <w:p>
            <w:pPr>
              <w:pStyle w:val="Compact"/>
              <w:jc w:val="left"/>
            </w:pPr>
            <w:r>
              <w:t xml:space="preserve">Patient Education Materials – Ophthalmologist Referral Brochures (Hebrew/English)</w:t>
            </w:r>
          </w:p>
        </w:tc>
        <w:tc>
          <w:tcPr/>
          <w:p>
            <w:pPr>
              <w:pStyle w:val="Compact"/>
              <w:jc w:val="left"/>
            </w:pPr>
            <w:r>
              <w:t xml:space="preserve">500</w:t>
            </w:r>
          </w:p>
        </w:tc>
        <w:tc>
          <w:tcPr/>
          <w:p>
            <w:pPr>
              <w:pStyle w:val="Compact"/>
              <w:jc w:val="left"/>
            </w:pPr>
            <w:r>
              <w:t xml:space="preserve">Copy</w:t>
            </w:r>
          </w:p>
        </w:tc>
        <w:tc>
          <w:tcPr/>
          <w:p>
            <w:pPr>
              <w:pStyle w:val="Compact"/>
              <w:jc w:val="left"/>
            </w:pPr>
            <w:r>
              <w:t xml:space="preserve">3.50</w:t>
            </w:r>
          </w:p>
        </w:tc>
        <w:tc>
          <w:tcPr/>
          <w:p>
            <w:pPr>
              <w:pStyle w:val="Compact"/>
              <w:jc w:val="left"/>
            </w:pPr>
            <w:r>
              <w:t xml:space="preserve">1,750.00</w:t>
            </w:r>
          </w:p>
        </w:tc>
      </w:tr>
      <w:tr>
        <w:tc>
          <w:tcPr>
            <w:gridSpan w:val="5"/>
          </w:tcPr>
          <w:p>
            <w:pPr>
              <w:pStyle w:val="Compact"/>
              <w:jc w:val="left"/>
            </w:pPr>
            <w:r>
              <w:t xml:space="preserve">Subtotal (excl. VAT):</w:t>
            </w:r>
          </w:p>
        </w:tc>
        <w:tc>
          <w:tcPr/>
          <w:p>
            <w:pPr>
              <w:pStyle w:val="Compact"/>
              <w:jc w:val="left"/>
            </w:pPr>
            <w:r>
              <w:t xml:space="preserve">711,675.00</w:t>
            </w:r>
          </w:p>
        </w:tc>
      </w:tr>
      <w:tr>
        <w:tc>
          <w:tcPr>
            <w:gridSpan w:val="5"/>
          </w:tcPr>
          <w:p>
            <w:pPr>
              <w:pStyle w:val="Compact"/>
              <w:jc w:val="left"/>
            </w:pPr>
            <w:r>
              <w:t xml:space="preserve">VAT (18% – Israel):</w:t>
            </w:r>
          </w:p>
        </w:tc>
        <w:tc>
          <w:tcPr/>
          <w:p>
            <w:pPr>
              <w:pStyle w:val="Compact"/>
              <w:jc w:val="left"/>
            </w:pPr>
            <w:r>
              <w:t xml:space="preserve">128,101.50</w:t>
            </w:r>
          </w:p>
        </w:tc>
      </w:tr>
      <w:tr>
        <w:tc>
          <w:tcPr>
            <w:gridSpan w:val="5"/>
          </w:tcPr>
          <w:p>
            <w:pPr>
              <w:pStyle w:val="Compact"/>
              <w:jc w:val="left"/>
            </w:pPr>
            <w:r>
              <w:t xml:space="preserve">Grand Total (ILS):</w:t>
            </w:r>
          </w:p>
        </w:tc>
        <w:tc>
          <w:tcPr/>
          <w:p>
            <w:pPr>
              <w:pStyle w:val="Compact"/>
              <w:jc w:val="left"/>
            </w:pPr>
            <w:r>
              <w:t xml:space="preserve">839,776.50</w:t>
            </w:r>
          </w:p>
        </w:tc>
      </w:tr>
    </w:tbl>
    <w:bookmarkEnd w:id="23"/>
    <w:bookmarkStart w:id="24" w:name="delivery-installation"/>
    <w:p>
      <w:pPr>
        <w:pStyle w:val="Heading3"/>
      </w:pPr>
      <w:r>
        <w:t xml:space="preserve">Delivery &amp; Installation</w:t>
      </w:r>
    </w:p>
    <w:p>
      <w:pPr>
        <w:pStyle w:val="FirstParagraph"/>
      </w:pPr>
      <w:r>
        <w:t xml:space="preserve">All items referenced in this</w:t>
      </w:r>
      <w:r>
        <w:t xml:space="preserve"> </w:t>
      </w:r>
      <w:r>
        <w:t xml:space="preserve">Purchase Order</w:t>
      </w:r>
      <w:r>
        <w:t xml:space="preserve"> </w:t>
      </w:r>
      <w:r>
        <w:t xml:space="preserve">shall be delivered to the Tel Aviv Vision &amp; Eye Care Center at 45 Dizengoff Street, Tel Aviv-Yafo,</w:t>
      </w:r>
      <w:r>
        <w:t xml:space="preserve"> </w:t>
      </w:r>
      <w:r>
        <w:t xml:space="preserve">Israel Tel Aviv</w:t>
      </w:r>
      <w:r>
        <w:t xml:space="preserve">, within thirty (30) calendar days from the date of acceptance. Capital equipment items (Items 01, 02, and 06) require on-site installation, calibration, and a full operational training session for the</w:t>
      </w:r>
      <w:r>
        <w:t xml:space="preserve"> </w:t>
      </w:r>
      <w:r>
        <w:t xml:space="preserve">Ophthalmologist</w:t>
      </w:r>
      <w:r>
        <w:t xml:space="preserve"> </w:t>
      </w:r>
      <w:r>
        <w:t xml:space="preserve">team and supporting clinical staff. The vendor shall provide a minimum of eight (8) hours of hands-on training at the Tel Aviv facility. Delivery must be scheduled during business hours (Monday through Friday, 08:00–17:00 Israel Standard Time) to minimize disruption to patient appointments.</w:t>
      </w:r>
    </w:p>
    <w:bookmarkEnd w:id="24"/>
    <w:bookmarkStart w:id="25" w:name="terms-conditions"/>
    <w:p>
      <w:pPr>
        <w:pStyle w:val="Heading3"/>
      </w:pPr>
      <w:r>
        <w:t xml:space="preserve">Terms &amp; Conditions</w:t>
      </w:r>
    </w:p>
    <w:p>
      <w:pPr>
        <w:numPr>
          <w:ilvl w:val="0"/>
          <w:numId w:val="1001"/>
        </w:numPr>
        <w:pStyle w:val="Compact"/>
      </w:pPr>
      <w:r>
        <w:rPr>
          <w:bCs/>
          <w:b/>
        </w:rPr>
        <w:t xml:space="preserve">Payment Terms:</w:t>
      </w:r>
      <w:r>
        <w:t xml:space="preserve"> </w:t>
      </w:r>
      <w:r>
        <w:t xml:space="preserve">Net 45 days from the date of confirmed delivery and successful installation. Payment shall be made via bank transfer to the vendor's designated Israeli bank account in New Israeli Shekels (ILS). A 1.5% monthly late-payment interest rate applies per Israeli commercial law.</w:t>
      </w:r>
    </w:p>
    <w:p>
      <w:pPr>
        <w:numPr>
          <w:ilvl w:val="0"/>
          <w:numId w:val="1001"/>
        </w:numPr>
        <w:pStyle w:val="Compact"/>
      </w:pPr>
      <w:r>
        <w:rPr>
          <w:bCs/>
          <w:b/>
        </w:rPr>
        <w:t xml:space="preserve">Warranty:</w:t>
      </w:r>
      <w:r>
        <w:t xml:space="preserve"> </w:t>
      </w:r>
      <w:r>
        <w:t xml:space="preserve">All capital equipment carries a minimum two-year comprehensive warranty from the date of installation. Consumable and pharmaceutical items are covered under standard manufacturer warranty terms. The</w:t>
      </w:r>
      <w:r>
        <w:t xml:space="preserve"> </w:t>
      </w:r>
      <w:r>
        <w:t xml:space="preserve">Ophthalmologist</w:t>
      </w:r>
      <w:r>
        <w:t xml:space="preserve"> </w:t>
      </w:r>
      <w:r>
        <w:t xml:space="preserve">practice reserves the right to reject any item that does not meet the specifications outlined in this</w:t>
      </w:r>
      <w:r>
        <w:t xml:space="preserve"> </w:t>
      </w:r>
      <w:r>
        <w:t xml:space="preserve">Purchase Order</w:t>
      </w:r>
      <w:r>
        <w:t xml:space="preserve">.</w:t>
      </w:r>
    </w:p>
    <w:p>
      <w:pPr>
        <w:numPr>
          <w:ilvl w:val="0"/>
          <w:numId w:val="1001"/>
        </w:numPr>
        <w:pStyle w:val="Compact"/>
      </w:pPr>
      <w:r>
        <w:rPr>
          <w:bCs/>
          <w:b/>
        </w:rPr>
        <w:t xml:space="preserve">Regulatory Compliance:</w:t>
      </w:r>
      <w:r>
        <w:t xml:space="preserve"> </w:t>
      </w:r>
      <w:r>
        <w:t xml:space="preserve">All medical devices and pharmaceutical products must hold valid Israeli Ministry of Health registration and comply with the Israeli Medical Devices Regulations (5763-2003). The vendor shall provide all relevant certificates, import permits, and CE/ISO documentation prior to delivery in</w:t>
      </w:r>
      <w:r>
        <w:t xml:space="preserve"> </w:t>
      </w:r>
      <w:r>
        <w:t xml:space="preserve">Israel Tel Aviv</w:t>
      </w:r>
      <w:r>
        <w:t xml:space="preserve">.</w:t>
      </w:r>
    </w:p>
    <w:p>
      <w:pPr>
        <w:numPr>
          <w:ilvl w:val="0"/>
          <w:numId w:val="1001"/>
        </w:numPr>
        <w:pStyle w:val="Compact"/>
      </w:pPr>
      <w:r>
        <w:rPr>
          <w:bCs/>
          <w:b/>
        </w:rPr>
        <w:t xml:space="preserve">Acceptance &amp; Inspection:</w:t>
      </w:r>
      <w:r>
        <w:t xml:space="preserve"> </w:t>
      </w:r>
      <w:r>
        <w:t xml:space="preserve">The undersigned</w:t>
      </w:r>
      <w:r>
        <w:t xml:space="preserve"> </w:t>
      </w:r>
      <w:r>
        <w:t xml:space="preserve">Ophthalmologist</w:t>
      </w:r>
      <w:r>
        <w:t xml:space="preserve"> </w:t>
      </w:r>
      <w:r>
        <w:t xml:space="preserve">or designated clinical manager shall inspect all delivered goods within five (5) business days. Any discrepancies, damage, or non-conformities must be reported in writing to the vendor within the same period.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international supply chain disruptions affecting delivery to</w:t>
      </w:r>
      <w:r>
        <w:t xml:space="preserve"> </w:t>
      </w:r>
      <w:r>
        <w:t xml:space="preserve">Israel Tel Aviv</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Israel. Any disputes shall be resolved by the competent courts in Tel Aviv-Yafo, Israel.</w:t>
      </w:r>
    </w:p>
    <w:p>
      <w:pPr>
        <w:numPr>
          <w:ilvl w:val="0"/>
          <w:numId w:val="1001"/>
        </w:numPr>
        <w:pStyle w:val="Compact"/>
      </w:pPr>
      <w:r>
        <w:rPr>
          <w:bCs/>
          <w:b/>
        </w:rPr>
        <w:t xml:space="preserve">Confidentiality:</w:t>
      </w:r>
      <w:r>
        <w:t xml:space="preserve"> </w:t>
      </w:r>
      <w:r>
        <w:t xml:space="preserve">All patient-related data, clinical protocols, and proprietary information shared in connection with this order shall remain strictly confidential and shall not be disclosed to third parties without written consent from the</w:t>
      </w:r>
      <w:r>
        <w:t xml:space="preserve"> </w:t>
      </w:r>
      <w:r>
        <w:t xml:space="preserve">Ophthalmologist</w:t>
      </w:r>
      <w:r>
        <w:t xml:space="preserve"> </w:t>
      </w:r>
      <w:r>
        <w:t xml:space="preserve">practice director.</w:t>
      </w:r>
    </w:p>
    <w:p>
      <w:pPr>
        <w:numPr>
          <w:ilvl w:val="0"/>
          <w:numId w:val="1001"/>
        </w:numPr>
        <w:pStyle w:val="Compact"/>
      </w:pPr>
      <w:r>
        <w:rPr>
          <w:bCs/>
          <w:b/>
        </w:rPr>
        <w:t xml:space="preserve">Amendments:</w:t>
      </w:r>
      <w:r>
        <w:t xml:space="preserve"> </w:t>
      </w:r>
      <w:r>
        <w:t xml:space="preserve">Any modifications to this</w:t>
      </w:r>
      <w:r>
        <w:t xml:space="preserve"> </w:t>
      </w:r>
      <w:r>
        <w:t xml:space="preserve">Purchase Order</w:t>
      </w:r>
      <w:r>
        <w:t xml:space="preserve"> </w:t>
      </w:r>
      <w:r>
        <w:t xml:space="preserve">must be made in writing and signed by both parties. Verbal agreements or email confirmations alone do not constitute a valid amendment.</w:t>
      </w:r>
    </w:p>
    <w:bookmarkEnd w:id="25"/>
    <w:bookmarkStart w:id="26" w:name="authorized-signatures"/>
    <w:p>
      <w:pPr>
        <w:pStyle w:val="Heading3"/>
      </w:pPr>
      <w:r>
        <w:t xml:space="preserve">Authorized Signatures</w:t>
      </w:r>
    </w:p>
    <w:p>
      <w:pPr>
        <w:pStyle w:val="FirstParagraph"/>
      </w:pPr>
      <w:r>
        <w:rPr>
          <w:bCs/>
          <w:b/>
        </w:rPr>
        <w:t xml:space="preserve">For the Buyer (Ophthalmologist Practice):</w:t>
      </w:r>
    </w:p>
    <w:p>
      <w:pPr>
        <w:pStyle w:val="BodyText"/>
      </w:pPr>
      <w:r>
        <w:t xml:space="preserve">Dr. Miriam Levi, MD</w:t>
      </w:r>
    </w:p>
    <w:p>
      <w:pPr>
        <w:pStyle w:val="BodyText"/>
      </w:pPr>
      <w:r>
        <w:t xml:space="preserve">Lead Ophthalmologist &amp; Practice Director</w:t>
      </w:r>
    </w:p>
    <w:p>
      <w:pPr>
        <w:pStyle w:val="BodyText"/>
      </w:pPr>
      <w:r>
        <w:t xml:space="preserve">Tel Aviv Vision &amp; Eye Care Center, Israel Tel Aviv</w:t>
      </w:r>
    </w:p>
    <w:p>
      <w:pPr>
        <w:pStyle w:val="BodyText"/>
      </w:pPr>
      <w:r>
        <w:rPr>
          <w:iCs/>
          <w:i/>
        </w:rPr>
        <w:t xml:space="preserve">Signature: ___________________________</w:t>
      </w:r>
    </w:p>
    <w:p>
      <w:pPr>
        <w:pStyle w:val="BodyText"/>
      </w:pPr>
      <w:r>
        <w:rPr>
          <w:iCs/>
          <w:i/>
        </w:rPr>
        <w:t xml:space="preserve">Date: ___________________________</w:t>
      </w:r>
    </w:p>
    <w:p>
      <w:pPr>
        <w:pStyle w:val="BodyText"/>
      </w:pPr>
      <w:r>
        <w:rPr>
          <w:bCs/>
          <w:b/>
        </w:rPr>
        <w:t xml:space="preserve">For the Vendor (Supplier):</w:t>
      </w:r>
    </w:p>
    <w:p>
      <w:pPr>
        <w:pStyle w:val="BodyText"/>
      </w:pPr>
      <w:r>
        <w:t xml:space="preserve">Mr. David Rosen</w:t>
      </w:r>
    </w:p>
    <w:p>
      <w:pPr>
        <w:pStyle w:val="BodyText"/>
      </w:pPr>
      <w:r>
        <w:t xml:space="preserve">Sales Director, MedTech Ophthalmic Solutions Ltd.</w:t>
      </w:r>
    </w:p>
    <w:p>
      <w:pPr>
        <w:pStyle w:val="BodyText"/>
      </w:pPr>
      <w:r>
        <w:t xml:space="preserve">Petah Tikva, Israel</w:t>
      </w:r>
    </w:p>
    <w:p>
      <w:pPr>
        <w:pStyle w:val="BodyText"/>
      </w:pPr>
      <w:r>
        <w:rPr>
          <w:iCs/>
          <w:i/>
        </w:rPr>
        <w:t xml:space="preserve">Signature: ___________________________</w:t>
      </w:r>
    </w:p>
    <w:p>
      <w:pPr>
        <w:pStyle w:val="BodyText"/>
      </w:pPr>
      <w:r>
        <w:rPr>
          <w:iCs/>
          <w:i/>
        </w:rPr>
        <w:t xml:space="preserve">Date: ___________________________</w:t>
      </w:r>
    </w:p>
    <w:bookmarkEnd w:id="26"/>
    <w:p>
      <w:pPr>
        <w:pStyle w:val="BodyText"/>
      </w:pPr>
      <w:r>
        <w:t xml:space="preserve">This</w:t>
      </w:r>
      <w:r>
        <w:t xml:space="preserve"> </w:t>
      </w:r>
      <w:r>
        <w:t xml:space="preserve">Purchase Order</w:t>
      </w:r>
      <w:r>
        <w:t xml:space="preserve"> </w:t>
      </w:r>
      <w:r>
        <w:t xml:space="preserve">(No. IL-TLV-OPH-2025-0472) was issued by the</w:t>
      </w:r>
      <w:r>
        <w:t xml:space="preserve"> </w:t>
      </w:r>
      <w:r>
        <w:t xml:space="preserve">Ophthalmologist</w:t>
      </w:r>
      <w:r>
        <w:t xml:space="preserve"> </w:t>
      </w:r>
      <w:r>
        <w:t xml:space="preserve">practice Tel Aviv Vision &amp; Eye Care Center, located in</w:t>
      </w:r>
      <w:r>
        <w:t xml:space="preserve"> </w:t>
      </w:r>
      <w:r>
        <w:t xml:space="preserve">Israel Tel Aviv</w:t>
      </w:r>
      <w:r>
        <w:t xml:space="preserve">. This document constitutes a binding procurement agreement upon dual signature. For inquiries, contact the procurement office at procurement@tlvvision.co.il or +972-3-621-4488.</w:t>
      </w:r>
    </w:p>
    <w:p>
      <w:pPr>
        <w:pStyle w:val="BodyText"/>
      </w:pPr>
      <w:r>
        <w:t xml:space="preserve">© 2025 Tel Aviv Vision &amp; Eye Care Center. All rights reserved. Document reference: PO-IL-TLV-OPH-2025-0472.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Practice - Israel Tel Aviv</dc:title>
  <dc:creator/>
  <dc:language>en</dc:language>
  <cp:keywords/>
  <dcterms:created xsi:type="dcterms:W3CDTF">2026-10-10T08:06:07Z</dcterms:created>
  <dcterms:modified xsi:type="dcterms:W3CDTF">2026-10-10T08:06:07Z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