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Practice</w:t>
      </w:r>
      <w:r>
        <w:t xml:space="preserve"> </w:t>
      </w:r>
      <w:r>
        <w:t xml:space="preserve">-</w:t>
      </w:r>
      <w:r>
        <w:t xml:space="preserve"> </w:t>
      </w:r>
      <w:r>
        <w:t xml:space="preserve">Japan</w:t>
      </w:r>
      <w:r>
        <w:t xml:space="preserve"> </w:t>
      </w:r>
      <w:r>
        <w:t xml:space="preserve">Kyoto</w:t>
      </w:r>
    </w:p>
    <w:bookmarkStart w:id="30" w:name="purchase-order"/>
    <w:p>
      <w:pPr>
        <w:pStyle w:val="Heading1"/>
      </w:pPr>
      <w:r>
        <w:t xml:space="preserve">PURCHASE ORDER</w:t>
      </w:r>
    </w:p>
    <w:p>
      <w:pPr>
        <w:pStyle w:val="FirstParagraph"/>
      </w:pPr>
      <w:r>
        <w:t xml:space="preserve">Ophthalmology Practice Procurement — Japan Kyoto</w:t>
      </w:r>
    </w:p>
    <w:p>
      <w:pPr>
        <w:pStyle w:val="BodyText"/>
      </w:pPr>
      <w:r>
        <w:rPr>
          <w:bCs/>
          <w:b/>
        </w:rPr>
        <w:t xml:space="preserve">Purchase Order No.:</w:t>
      </w:r>
      <w:r>
        <w:t xml:space="preserve"> </w:t>
      </w:r>
      <w:r>
        <w:t xml:space="preserve">PO-KYO-2025-04872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Priority:</w:t>
      </w:r>
      <w:r>
        <w:t xml:space="preserve"> </w:t>
      </w:r>
      <w:r>
        <w:t xml:space="preserve">Standard</w:t>
      </w:r>
    </w:p>
    <w:p>
      <w:pPr>
        <w:pStyle w:val="BodyText"/>
      </w:pPr>
      <w:r>
        <w:rPr>
          <w:bCs/>
          <w:b/>
        </w:rPr>
        <w:t xml:space="preserve">Issuing Entity:</w:t>
      </w:r>
      <w:r>
        <w:br/>
      </w:r>
      <w:r>
        <w:t xml:space="preserve">Kyoto Ophthalmology Medical Group</w:t>
      </w:r>
      <w:r>
        <w:br/>
      </w:r>
      <w:r>
        <w:t xml:space="preserve">78-2 Gionmachi, Higashiyama-ku</w:t>
      </w:r>
      <w:r>
        <w:br/>
      </w:r>
      <w:r>
        <w:t xml:space="preserve">Kyoto 605-0073, Japan</w:t>
      </w:r>
      <w:r>
        <w:br/>
      </w:r>
      <w:r>
        <w:t xml:space="preserve">Tel: +81-75-555-0142</w:t>
      </w:r>
      <w:r>
        <w:br/>
      </w:r>
      <w:r>
        <w:t xml:space="preserve">Email: procurement@kyoto-ophthalmology.jp</w:t>
      </w:r>
    </w:p>
    <w:bookmarkStart w:id="20"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MedTech Ophthalmic Solutions K.K.</w:t>
            </w:r>
          </w:p>
        </w:tc>
      </w:tr>
      <w:tr>
        <w:tc>
          <w:tcPr/>
          <w:p>
            <w:pPr>
              <w:pStyle w:val="Compact"/>
              <w:jc w:val="left"/>
            </w:pPr>
            <w:r>
              <w:t xml:space="preserve">Address</w:t>
            </w:r>
          </w:p>
        </w:tc>
        <w:tc>
          <w:tcPr/>
          <w:p>
            <w:pPr>
              <w:pStyle w:val="Compact"/>
              <w:jc w:val="left"/>
            </w:pPr>
            <w:r>
              <w:t xml:space="preserve">12-4-8 Nishinakajima, Yodogawa-ku, Osaka 532-0022, Japan</w:t>
            </w:r>
          </w:p>
        </w:tc>
      </w:tr>
      <w:tr>
        <w:tc>
          <w:tcPr/>
          <w:p>
            <w:pPr>
              <w:pStyle w:val="Compact"/>
              <w:jc w:val="left"/>
            </w:pPr>
            <w:r>
              <w:t xml:space="preserve">Contact Person</w:t>
            </w:r>
          </w:p>
        </w:tc>
        <w:tc>
          <w:tcPr/>
          <w:p>
            <w:pPr>
              <w:pStyle w:val="Compact"/>
              <w:jc w:val="left"/>
            </w:pPr>
            <w:r>
              <w:t xml:space="preserve">Mr. Hiroshi Tanaka, Regional Sales Director</w:t>
            </w:r>
          </w:p>
        </w:tc>
      </w:tr>
      <w:tr>
        <w:tc>
          <w:tcPr/>
          <w:p>
            <w:pPr>
              <w:pStyle w:val="Compact"/>
              <w:jc w:val="left"/>
            </w:pPr>
            <w:r>
              <w:t xml:space="preserve">Phone</w:t>
            </w:r>
          </w:p>
        </w:tc>
        <w:tc>
          <w:tcPr/>
          <w:p>
            <w:pPr>
              <w:pStyle w:val="Compact"/>
              <w:jc w:val="left"/>
            </w:pPr>
            <w:r>
              <w:t xml:space="preserve">+81-6-555-7831</w:t>
            </w:r>
          </w:p>
        </w:tc>
      </w:tr>
      <w:tr>
        <w:tc>
          <w:tcPr/>
          <w:p>
            <w:pPr>
              <w:pStyle w:val="Compact"/>
              <w:jc w:val="left"/>
            </w:pPr>
            <w:r>
              <w:t xml:space="preserve">Tax ID (Touhyou Gyoushi No.)</w:t>
            </w:r>
          </w:p>
        </w:tc>
        <w:tc>
          <w:tcPr/>
          <w:p>
            <w:pPr>
              <w:pStyle w:val="Compact"/>
              <w:jc w:val="left"/>
            </w:pPr>
            <w:r>
              <w:t xml:space="preserve">2010401045678</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the Kyoto Ophthalmology Medical Group to procure specialized diagnostic equipment, surgical instruments, and consumable medical supplies required for the ongoing operations of our</w:t>
      </w:r>
      <w:r>
        <w:t xml:space="preserve"> </w:t>
      </w:r>
      <w:r>
        <w:rPr>
          <w:bCs/>
          <w:b/>
        </w:rPr>
        <w:t xml:space="preserve">Ophthalmologist</w:t>
      </w:r>
      <w:r>
        <w:t xml:space="preserve"> </w:t>
      </w:r>
      <w:r>
        <w:t xml:space="preserve">team in</w:t>
      </w:r>
      <w:r>
        <w:t xml:space="preserve"> </w:t>
      </w:r>
      <w:r>
        <w:rPr>
          <w:bCs/>
          <w:b/>
        </w:rPr>
        <w:t xml:space="preserve">Japan Kyoto</w:t>
      </w:r>
      <w:r>
        <w:t xml:space="preserve">. The items listed below are essential for maintaining the highest standard of eye care, including cataract surgery, retinal diagnostics, laser treatments, and routine ophthalmological examinations. All equipment must comply with the Pharmaceuticals and Medical Devices Act (PMDA) regulations applicable in Japan and must be certified for use in licensed ophthalmology clinics within the Kyoto prefecture.</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Zeiss Visumax 800 Femtosecond Laser System (for ophthalmologist-assisted cataract and refractive surgery)</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Topcon iOpCare OCT-X2 Optical Coherence Tomography Scanner</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03</w:t>
            </w:r>
          </w:p>
        </w:tc>
        <w:tc>
          <w:tcPr/>
          <w:p>
            <w:pPr>
              <w:pStyle w:val="Compact"/>
              <w:jc w:val="left"/>
            </w:pPr>
            <w:r>
              <w:t xml:space="preserve">Alcon Centurion Phacoemulsification System with 25-gauge handpieces</w:t>
            </w:r>
          </w:p>
        </w:tc>
        <w:tc>
          <w:tcPr/>
          <w:p>
            <w:pPr>
              <w:pStyle w:val="Compact"/>
              <w:jc w:val="left"/>
            </w:pPr>
            <w:r>
              <w:t xml:space="preserve">1</w:t>
            </w:r>
          </w:p>
        </w:tc>
        <w:tc>
          <w:tcPr/>
          <w:p>
            <w:pPr>
              <w:pStyle w:val="Compact"/>
              <w:jc w:val="left"/>
            </w:pPr>
            <w:r>
              <w:t xml:space="preserve">Set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Penumbra OcuLight SL Direct Ophthalmoscope (for ophthalmologist clinical use)</w:t>
            </w:r>
          </w:p>
        </w:tc>
        <w:tc>
          <w:tcPr/>
          <w:p>
            <w:pPr>
              <w:pStyle w:val="Compact"/>
              <w:jc w:val="left"/>
            </w:pPr>
            <w:r>
              <w:t xml:space="preserve">12</w:t>
            </w:r>
          </w:p>
        </w:tc>
        <w:tc>
          <w:tcPr/>
          <w:p>
            <w:pPr>
              <w:pStyle w:val="Compact"/>
              <w:jc w:val="left"/>
            </w:pPr>
            <w:r>
              <w:t xml:space="preserve">Unit</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05</w:t>
            </w:r>
          </w:p>
        </w:tc>
        <w:tc>
          <w:tcPr/>
          <w:p>
            <w:pPr>
              <w:pStyle w:val="Compact"/>
              <w:jc w:val="left"/>
            </w:pPr>
            <w:r>
              <w:t xml:space="preserve">Consumable Intraocular Lenses (IOL) — Alcon AcrySof IQ, 20.0D, sterile</w:t>
            </w:r>
          </w:p>
        </w:tc>
        <w:tc>
          <w:tcPr/>
          <w:p>
            <w:pPr>
              <w:pStyle w:val="Compact"/>
              <w:jc w:val="left"/>
            </w:pPr>
            <w:r>
              <w:t xml:space="preserve">500</w:t>
            </w:r>
          </w:p>
        </w:tc>
        <w:tc>
          <w:tcPr/>
          <w:p>
            <w:pPr>
              <w:pStyle w:val="Compact"/>
              <w:jc w:val="left"/>
            </w:pPr>
            <w:r>
              <w:t xml:space="preserve">Pcs</w:t>
            </w:r>
          </w:p>
        </w:tc>
        <w:tc>
          <w:tcPr/>
          <w:p>
            <w:pPr>
              <w:pStyle w:val="Compact"/>
              <w:jc w:val="left"/>
            </w:pPr>
            <w:r>
              <w:t xml:space="preserve">12,500</w:t>
            </w:r>
          </w:p>
        </w:tc>
        <w:tc>
          <w:tcPr/>
          <w:p>
            <w:pPr>
              <w:pStyle w:val="Compact"/>
              <w:jc w:val="left"/>
            </w:pPr>
            <w:r>
              <w:t xml:space="preserve">6,250,000</w:t>
            </w:r>
          </w:p>
        </w:tc>
      </w:tr>
      <w:tr>
        <w:tc>
          <w:tcPr/>
          <w:p>
            <w:pPr>
              <w:pStyle w:val="Compact"/>
              <w:jc w:val="left"/>
            </w:pPr>
            <w:r>
              <w:t xml:space="preserve">06</w:t>
            </w:r>
          </w:p>
        </w:tc>
        <w:tc>
          <w:tcPr/>
          <w:p>
            <w:pPr>
              <w:pStyle w:val="Compact"/>
              <w:jc w:val="left"/>
            </w:pPr>
            <w:r>
              <w:t xml:space="preserve">Viscoelastic Agent (Healon Viscoat) 3mL syringes</w:t>
            </w:r>
          </w:p>
        </w:tc>
        <w:tc>
          <w:tcPr/>
          <w:p>
            <w:pPr>
              <w:pStyle w:val="Compact"/>
              <w:jc w:val="left"/>
            </w:pPr>
            <w:r>
              <w:t xml:space="preserve">200</w:t>
            </w:r>
          </w:p>
        </w:tc>
        <w:tc>
          <w:tcPr/>
          <w:p>
            <w:pPr>
              <w:pStyle w:val="Compact"/>
              <w:jc w:val="left"/>
            </w:pPr>
            <w:r>
              <w:t xml:space="preserve">Pcs</w:t>
            </w:r>
          </w:p>
        </w:tc>
        <w:tc>
          <w:tcPr/>
          <w:p>
            <w:pPr>
              <w:pStyle w:val="Compact"/>
              <w:jc w:val="left"/>
            </w:pPr>
            <w:r>
              <w:t xml:space="preserve">8,200</w:t>
            </w:r>
          </w:p>
        </w:tc>
        <w:tc>
          <w:tcPr/>
          <w:p>
            <w:pPr>
              <w:pStyle w:val="Compact"/>
              <w:jc w:val="left"/>
            </w:pPr>
            <w:r>
              <w:t xml:space="preserve">1,640,000</w:t>
            </w:r>
          </w:p>
        </w:tc>
      </w:tr>
      <w:tr>
        <w:tc>
          <w:tcPr/>
          <w:p>
            <w:pPr>
              <w:pStyle w:val="Compact"/>
              <w:jc w:val="left"/>
            </w:pPr>
            <w:r>
              <w:t xml:space="preserve">07</w:t>
            </w:r>
          </w:p>
        </w:tc>
        <w:tc>
          <w:tcPr/>
          <w:p>
            <w:pPr>
              <w:pStyle w:val="Compact"/>
              <w:jc w:val="left"/>
            </w:pPr>
            <w:r>
              <w:t xml:space="preserve">Retinal Surgical Kits (23-gauge vitrectomy, complete)</w:t>
            </w:r>
          </w:p>
        </w:tc>
        <w:tc>
          <w:tcPr/>
          <w:p>
            <w:pPr>
              <w:pStyle w:val="Compact"/>
              <w:jc w:val="left"/>
            </w:pPr>
            <w:r>
              <w:t xml:space="preserve">30</w:t>
            </w:r>
          </w:p>
        </w:tc>
        <w:tc>
          <w:tcPr/>
          <w:p>
            <w:pPr>
              <w:pStyle w:val="Compact"/>
              <w:jc w:val="left"/>
            </w:pPr>
            <w:r>
              <w:t xml:space="preserve">Kit</w:t>
            </w:r>
          </w:p>
        </w:tc>
        <w:tc>
          <w:tcPr/>
          <w:p>
            <w:pPr>
              <w:pStyle w:val="Compact"/>
              <w:jc w:val="left"/>
            </w:pPr>
            <w:r>
              <w:t xml:space="preserve">45,000</w:t>
            </w:r>
          </w:p>
        </w:tc>
        <w:tc>
          <w:tcPr/>
          <w:p>
            <w:pPr>
              <w:pStyle w:val="Compact"/>
              <w:jc w:val="left"/>
            </w:pPr>
            <w:r>
              <w:t xml:space="preserve">1,350,000</w:t>
            </w:r>
          </w:p>
        </w:tc>
      </w:tr>
      <w:tr>
        <w:tc>
          <w:tcPr/>
          <w:p>
            <w:pPr>
              <w:pStyle w:val="Compact"/>
              <w:jc w:val="left"/>
            </w:pPr>
            <w:r>
              <w:t xml:space="preserve">08</w:t>
            </w:r>
          </w:p>
        </w:tc>
        <w:tc>
          <w:tcPr/>
          <w:p>
            <w:pPr>
              <w:pStyle w:val="Compact"/>
              <w:jc w:val="left"/>
            </w:pPr>
            <w:r>
              <w:t xml:space="preserve">Fluorescein Sodium 10% Eye Drops, 5mL (for fundus fluorescein angiography)</w:t>
            </w:r>
          </w:p>
        </w:tc>
        <w:tc>
          <w:tcPr/>
          <w:p>
            <w:pPr>
              <w:pStyle w:val="Compact"/>
              <w:jc w:val="left"/>
            </w:pPr>
            <w:r>
              <w:t xml:space="preserve">100</w:t>
            </w:r>
          </w:p>
        </w:tc>
        <w:tc>
          <w:tcPr/>
          <w:p>
            <w:pPr>
              <w:pStyle w:val="Compact"/>
              <w:jc w:val="left"/>
            </w:pPr>
            <w:r>
              <w:t xml:space="preserve">Bottles</w:t>
            </w:r>
          </w:p>
        </w:tc>
        <w:tc>
          <w:tcPr/>
          <w:p>
            <w:pPr>
              <w:pStyle w:val="Compact"/>
              <w:jc w:val="left"/>
            </w:pPr>
            <w:r>
              <w:t xml:space="preserve">3,800</w:t>
            </w:r>
          </w:p>
        </w:tc>
        <w:tc>
          <w:tcPr/>
          <w:p>
            <w:pPr>
              <w:pStyle w:val="Compact"/>
              <w:jc w:val="left"/>
            </w:pPr>
            <w:r>
              <w:t xml:space="preserve">380,000</w:t>
            </w:r>
          </w:p>
        </w:tc>
      </w:tr>
      <w:tr>
        <w:tc>
          <w:tcPr/>
          <w:p>
            <w:pPr>
              <w:pStyle w:val="Compact"/>
              <w:jc w:val="left"/>
            </w:pPr>
            <w:r>
              <w:t xml:space="preserve">09</w:t>
            </w:r>
          </w:p>
        </w:tc>
        <w:tc>
          <w:tcPr/>
          <w:p>
            <w:pPr>
              <w:pStyle w:val="Compact"/>
              <w:jc w:val="left"/>
            </w:pPr>
            <w:r>
              <w:t xml:space="preserve">Disposable Speculum Sets (for ophthalmologist slit-lamp examinations)</w:t>
            </w:r>
          </w:p>
        </w:tc>
        <w:tc>
          <w:tcPr/>
          <w:p>
            <w:pPr>
              <w:pStyle w:val="Compact"/>
              <w:jc w:val="left"/>
            </w:pPr>
            <w:r>
              <w:t xml:space="preserve">1,000</w:t>
            </w:r>
          </w:p>
        </w:tc>
        <w:tc>
          <w:tcPr/>
          <w:p>
            <w:pPr>
              <w:pStyle w:val="Compact"/>
              <w:jc w:val="left"/>
            </w:pPr>
            <w:r>
              <w:t xml:space="preserve">Sets</w:t>
            </w:r>
          </w:p>
        </w:tc>
        <w:tc>
          <w:tcPr/>
          <w:p>
            <w:pPr>
              <w:pStyle w:val="Compact"/>
              <w:jc w:val="left"/>
            </w:pPr>
            <w:r>
              <w:t xml:space="preserve">1,200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Topcon SL-D7N Slit Lamp Biomicroscope with fundus camera attachment</w:t>
            </w:r>
          </w:p>
        </w:tc>
        <w:tc>
          <w:tcPr/>
          <w:p>
            <w:pPr>
              <w:pStyle w:val="Compact"/>
              <w:jc w:val="left"/>
            </w:pPr>
            <w:r>
              <w:t xml:space="preserve">3</w:t>
            </w:r>
          </w:p>
        </w:tc>
        <w:tc>
          <w:tcPr/>
          <w:p>
            <w:pPr>
              <w:pStyle w:val="Compact"/>
              <w:jc w:val="left"/>
            </w:pPr>
            <w:r>
              <w:t xml:space="preserve">Unit</w:t>
            </w:r>
          </w:p>
        </w:tc>
        <w:tc>
          <w:tcPr/>
          <w:p>
            <w:pPr>
              <w:pStyle w:val="Compact"/>
              <w:jc w:val="left"/>
            </w:pPr>
            <w:r>
              <w:t xml:space="preserve">2,900,000</w:t>
            </w:r>
          </w:p>
        </w:tc>
        <w:tc>
          <w:tcPr/>
          <w:p>
            <w:pPr>
              <w:pStyle w:val="Compact"/>
              <w:jc w:val="left"/>
            </w:pPr>
            <w:r>
              <w:t xml:space="preserve">8,700,000</w:t>
            </w:r>
          </w:p>
        </w:tc>
      </w:tr>
    </w:tbl>
    <w:bookmarkEnd w:id="22"/>
    <w:bookmarkStart w:id="23" w:name="subtotal-tax-and-grand-total"/>
    <w:p>
      <w:pPr>
        <w:pStyle w:val="Heading2"/>
      </w:pPr>
      <w:r>
        <w:t xml:space="preserve">4. Subtotal, Tax, and Grand Total</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(JPY)</w:t>
            </w:r>
          </w:p>
        </w:tc>
        <w:tc>
          <w:tcPr/>
          <w:p>
            <w:pPr>
              <w:pStyle w:val="Compact"/>
              <w:jc w:val="right"/>
            </w:pPr>
            <w:r>
              <w:t xml:space="preserve">54,240,000</w:t>
            </w:r>
          </w:p>
        </w:tc>
      </w:tr>
      <w:tr>
        <w:tc>
          <w:tcPr/>
          <w:p>
            <w:pPr>
              <w:pStyle w:val="Compact"/>
              <w:jc w:val="left"/>
            </w:pPr>
            <w:r>
              <w:t xml:space="preserve">Consumption Tax (10%)</w:t>
            </w:r>
          </w:p>
        </w:tc>
        <w:tc>
          <w:tcPr/>
          <w:p>
            <w:pPr>
              <w:pStyle w:val="Compact"/>
              <w:jc w:val="right"/>
            </w:pPr>
            <w:r>
              <w:t xml:space="preserve">5,424,000</w:t>
            </w:r>
          </w:p>
        </w:tc>
      </w:tr>
      <w:tr>
        <w:tc>
          <w:tcPr/>
          <w:p>
            <w:pPr>
              <w:pStyle w:val="Compact"/>
              <w:jc w:val="left"/>
            </w:pPr>
            <w:r>
              <w:t xml:space="preserve">Shipping &amp; Installation (Kyoto metropolitan area)</w:t>
            </w:r>
          </w:p>
        </w:tc>
        <w:tc>
          <w:tcPr/>
          <w:p>
            <w:pPr>
              <w:pStyle w:val="Compact"/>
              <w:jc w:val="right"/>
            </w:pPr>
            <w:r>
              <w:t xml:space="preserve">1,850,000</w:t>
            </w:r>
          </w:p>
        </w:tc>
      </w:tr>
      <w:tr>
        <w:tc>
          <w:tcPr/>
          <w:p>
            <w:pPr>
              <w:pStyle w:val="Compact"/>
              <w:jc w:val="left"/>
            </w:pPr>
            <w:r>
              <w:t xml:space="preserve">Grand Total (JPY)</w:t>
            </w:r>
          </w:p>
        </w:tc>
        <w:tc>
          <w:tcPr/>
          <w:p>
            <w:pPr>
              <w:pStyle w:val="Compact"/>
              <w:jc w:val="right"/>
            </w:pPr>
            <w:r>
              <w:t xml:space="preserve">61,514,000</w:t>
            </w:r>
          </w:p>
        </w:tc>
      </w:tr>
    </w:tbl>
    <w:bookmarkEnd w:id="23"/>
    <w:bookmarkStart w:id="24" w:name="delivery-and-installation-requirements"/>
    <w:p>
      <w:pPr>
        <w:pStyle w:val="Heading2"/>
      </w:pPr>
      <w:r>
        <w:t xml:space="preserve">5. Delivery and Installation Requirements</w:t>
      </w:r>
    </w:p>
    <w:p>
      <w:pPr>
        <w:pStyle w:val="FirstParagraph"/>
      </w:pPr>
      <w:r>
        <w:t xml:space="preserve">All items under this Purchase Order shall be delivered to the Kyoto Ophthalmology Medical Group facility located at 78-2 Gionmachi, Higashiyama-ku,</w:t>
      </w:r>
      <w:r>
        <w:t xml:space="preserve"> </w:t>
      </w:r>
      <w:r>
        <w:rPr>
          <w:bCs/>
          <w:b/>
        </w:rPr>
        <w:t xml:space="preserve">Japan Kyoto</w:t>
      </w:r>
      <w:r>
        <w:t xml:space="preserve">, 605-0073. Delivery must be completed no later than</w:t>
      </w:r>
      <w:r>
        <w:t xml:space="preserve"> </w:t>
      </w:r>
      <w:r>
        <w:rPr>
          <w:bCs/>
          <w:b/>
        </w:rPr>
        <w:t xml:space="preserve">30 July 2025</w:t>
      </w:r>
      <w:r>
        <w:t xml:space="preserve">. The supplier is responsible for all freight, insurance, and customs clearance (if applicable for imported components). Large equipment items (Items 01, 02, 03, and 10) require on-site installation, calibration, and a 48-hour operational verification period supervised by the lead</w:t>
      </w:r>
      <w:r>
        <w:t xml:space="preserve"> </w:t>
      </w:r>
      <w:r>
        <w:rPr>
          <w:bCs/>
          <w:b/>
        </w:rPr>
        <w:t xml:space="preserve">Ophthalmologist</w:t>
      </w:r>
      <w:r>
        <w:t xml:space="preserve"> </w:t>
      </w:r>
      <w:r>
        <w:t xml:space="preserve">and the clinic's biomedical engineering team. The supplier must provide a minimum of 72 hours' advance notice before delivery to coordinate with the clinic's surgical schedule and ensure the operating theatre is available for equipment placement.</w:t>
      </w:r>
    </w:p>
    <w:bookmarkEnd w:id="24"/>
    <w:bookmarkStart w:id="25" w:name="payment-terms"/>
    <w:p>
      <w:pPr>
        <w:pStyle w:val="Heading2"/>
      </w:pPr>
      <w:r>
        <w:t xml:space="preserve">6. Payment Terms</w:t>
      </w:r>
    </w:p>
    <w:p>
      <w:pPr>
        <w:numPr>
          <w:ilvl w:val="0"/>
          <w:numId w:val="1001"/>
        </w:numPr>
        <w:pStyle w:val="Compact"/>
      </w:pPr>
      <w:r>
        <w:t xml:space="preserve">Payment Method: Bank transfer (Zenshin) to the supplier's designated account.</w:t>
      </w:r>
    </w:p>
    <w:p>
      <w:pPr>
        <w:numPr>
          <w:ilvl w:val="0"/>
          <w:numId w:val="1001"/>
        </w:numPr>
        <w:pStyle w:val="Compact"/>
      </w:pPr>
      <w:r>
        <w:t xml:space="preserve">30% advance payment upon acceptance of this Purchase Order.</w:t>
      </w:r>
    </w:p>
    <w:p>
      <w:pPr>
        <w:numPr>
          <w:ilvl w:val="0"/>
          <w:numId w:val="1001"/>
        </w:numPr>
        <w:pStyle w:val="Compact"/>
      </w:pPr>
      <w:r>
        <w:t xml:space="preserve">60% payment upon confirmed delivery and successful installation in Japan Kyoto.</w:t>
      </w:r>
    </w:p>
    <w:p>
      <w:pPr>
        <w:numPr>
          <w:ilvl w:val="0"/>
          <w:numId w:val="1001"/>
        </w:numPr>
        <w:pStyle w:val="Compact"/>
      </w:pPr>
      <w:r>
        <w:t xml:space="preserve">10% retention payment released 90 days after final acceptance, provided no defects are identified.</w:t>
      </w:r>
    </w:p>
    <w:p>
      <w:pPr>
        <w:numPr>
          <w:ilvl w:val="0"/>
          <w:numId w:val="1001"/>
        </w:numPr>
        <w:pStyle w:val="Compact"/>
      </w:pPr>
      <w:r>
        <w:t xml:space="preserve">All invoices must reference Purchase Order No. PO-KYO-2025-04872.</w:t>
      </w:r>
    </w:p>
    <w:bookmarkEnd w:id="25"/>
    <w:bookmarkStart w:id="26" w:name="X1e9311bf62a98d878286e85ce65a3eb3de8329f"/>
    <w:p>
      <w:pPr>
        <w:pStyle w:val="Heading2"/>
      </w:pPr>
      <w:r>
        <w:t xml:space="preserve">7. Quality Assurance and Regulatory Compliance</w:t>
      </w:r>
    </w:p>
    <w:p>
      <w:pPr>
        <w:pStyle w:val="FirstParagraph"/>
      </w:pPr>
      <w:r>
        <w:t xml:space="preserve">The supplier warrants that all ophthalmic devices and consumables listed in this Purchase Order are fully registered with the Japan PMDA and carry valid CE or equivalent certification. The</w:t>
      </w:r>
      <w:r>
        <w:t xml:space="preserve"> </w:t>
      </w:r>
      <w:r>
        <w:rPr>
          <w:bCs/>
          <w:b/>
        </w:rPr>
        <w:t xml:space="preserve">Ophthalmologist</w:t>
      </w:r>
      <w:r>
        <w:t xml:space="preserve"> </w:t>
      </w:r>
      <w:r>
        <w:t xml:space="preserve">in charge at our Kyoto facility will conduct a final quality inspection upon receipt. Any item found to be non-conforming, expired, or lacking proper Japanese-language labeling will be rejected at the supplier's expense. The supplier shall provide full technical documentation, user manuals in Japanese, and warranty certificates (minimum 24 months for capital equipment) with each delivery.</w:t>
      </w:r>
    </w:p>
    <w:bookmarkEnd w:id="26"/>
    <w:bookmarkStart w:id="27" w:name="warranties-and-after-sales-support"/>
    <w:p>
      <w:pPr>
        <w:pStyle w:val="Heading2"/>
      </w:pPr>
      <w:r>
        <w:t xml:space="preserve">8. Warranties and After-Sales Support</w:t>
      </w:r>
    </w:p>
    <w:p>
      <w:pPr>
        <w:pStyle w:val="FirstParagraph"/>
      </w:pPr>
      <w:r>
        <w:t xml:space="preserve">Capital equipment (Items 01, 02, 03, 10) carries a minimum 24-month comprehensive warranty covering parts and labor. The supplier must maintain a dedicated technical support line accessible to our</w:t>
      </w:r>
      <w:r>
        <w:t xml:space="preserve"> </w:t>
      </w:r>
      <w:r>
        <w:rPr>
          <w:bCs/>
          <w:b/>
        </w:rPr>
        <w:t xml:space="preserve">Ophthalmologist</w:t>
      </w:r>
      <w:r>
        <w:t xml:space="preserve"> </w:t>
      </w:r>
      <w:r>
        <w:t xml:space="preserve">staff in Kyoto during business hours (08:00–18:00 JST, Monday through Saturday). Response time for critical equipment failures shall not exceed 4 business hours. Annual preventive maintenance contracts are to be quoted separately and are not included in this Purchase Order.</w:t>
      </w:r>
    </w:p>
    <w:bookmarkEnd w:id="27"/>
    <w:bookmarkStart w:id="28" w:name="cancellation-and-amendment"/>
    <w:p>
      <w:pPr>
        <w:pStyle w:val="Heading2"/>
      </w:pPr>
      <w:r>
        <w:t xml:space="preserve">9. Cancellation and Amendment</w:t>
      </w:r>
    </w:p>
    <w:p>
      <w:pPr>
        <w:pStyle w:val="FirstParagraph"/>
      </w:pPr>
      <w:r>
        <w:t xml:space="preserve">This Purchase Order may be amended only by mutual written agreement between the Kyoto Ophthalmology Medical Group and MedTech Ophthalmic Solutions K.K. Cancellation of any line item after the advance payment has been issued will incur a 15% restocking fee. The supplier shall not subcontract any portion of the delivery or installation without prior written consent from the purchasing authority in Japan Kyoto.</w:t>
      </w:r>
    </w:p>
    <w:bookmarkEnd w:id="28"/>
    <w:bookmarkStart w:id="29" w:name="acceptance-and-authorization"/>
    <w:p>
      <w:pPr>
        <w:pStyle w:val="Heading2"/>
      </w:pPr>
      <w:r>
        <w:t xml:space="preserve">10. Acceptance and Authorization</w:t>
      </w:r>
    </w:p>
    <w:p>
      <w:pPr>
        <w:pStyle w:val="FirstParagraph"/>
      </w:pPr>
      <w:r>
        <w:rPr>
          <w:bCs/>
          <w:b/>
        </w:rPr>
        <w:t xml:space="preserve">For and on behalf of Kyoto Ophthalmology Medical Group:</w:t>
      </w:r>
    </w:p>
    <w:p>
      <w:pPr>
        <w:pStyle w:val="BodyText"/>
      </w:pPr>
      <w:r>
        <w:t xml:space="preserve">Dr. Kenji Yamamoto, M.D., Ph.D.</w:t>
      </w:r>
      <w:r>
        <w:br/>
      </w:r>
      <w:r>
        <w:t xml:space="preserve">Lead Ophthalmologist &amp; Chief of Ophthalmology</w:t>
      </w:r>
      <w:r>
        <w:br/>
      </w:r>
      <w:r>
        <w:t xml:space="preserve">Kyoto Ophthalmology Medical Group, Japan Kyoto</w:t>
      </w:r>
    </w:p>
    <w:p>
      <w:pPr>
        <w:pStyle w:val="BodyText"/>
      </w:pPr>
      <w:r>
        <w:t xml:space="preserve">Signature</w:t>
      </w:r>
    </w:p>
    <w:p>
      <w:pPr>
        <w:pStyle w:val="BodyText"/>
      </w:pPr>
      <w:r>
        <w:t xml:space="preserve">Date: _______________</w:t>
      </w:r>
    </w:p>
    <w:p>
      <w:pPr>
        <w:pStyle w:val="BodyText"/>
      </w:pPr>
      <w:r>
        <w:rPr>
          <w:bCs/>
          <w:b/>
        </w:rPr>
        <w:t xml:space="preserve">For and on behalf of MedTech Ophthalmic Solutions K.K.:</w:t>
      </w:r>
    </w:p>
    <w:p>
      <w:pPr>
        <w:pStyle w:val="BodyText"/>
      </w:pPr>
      <w:r>
        <w:t xml:space="preserve">Mr. Hiroshi Tanaka</w:t>
      </w:r>
      <w:r>
        <w:br/>
      </w:r>
      <w:r>
        <w:t xml:space="preserve">Regional Sales Director, Kansai Region</w:t>
      </w:r>
    </w:p>
    <w:p>
      <w:pPr>
        <w:pStyle w:val="BodyText"/>
      </w:pPr>
      <w:r>
        <w:t xml:space="preserve">Signature</w:t>
      </w:r>
    </w:p>
    <w:p>
      <w:pPr>
        <w:pStyle w:val="BodyText"/>
      </w:pPr>
      <w:r>
        <w:t xml:space="preserve">Date: _______________</w:t>
      </w:r>
    </w:p>
    <w:p>
      <w:pPr>
        <w:pStyle w:val="BodyText"/>
      </w:pPr>
      <w:r>
        <w:t xml:space="preserve">This Purchase Order document is the property of Kyoto Ophthalmology Medical Group, Japan Kyoto. Unauthorized reproduction or distribution is prohibited. Document reference: PO-KYO-2025-04872. For inquiries, contact the Procurement Office at procurement@kyoto-ophthalmology.jp or +81-75-555-0142. This document is valid only when signed by both parties and bears the official seal (hanko) of the issuing entity.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Practice - Japan Kyoto</dc:title>
  <dc:creator/>
  <dc:language>en</dc:language>
  <cp:keywords/>
  <dcterms:created xsi:type="dcterms:W3CDTF">2026-10-10T04:13:01Z</dcterms:created>
  <dcterms:modified xsi:type="dcterms:W3CDTF">2026-10-10T04:13:01Z</dcterms:modified>
</cp:coreProperties>
</file>

<file path=docProps/custom.xml><?xml version="1.0" encoding="utf-8"?>
<Properties xmlns="http://schemas.openxmlformats.org/officeDocument/2006/custom-properties" xmlns:vt="http://schemas.openxmlformats.org/officeDocument/2006/docPropsVTypes"/>
</file>