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Ophthalmology</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rPr>
          <w:bCs/>
          <w:b/>
        </w:rPr>
        <w:t xml:space="preserve">Nairobi Vision Care Centre Ltd.</w:t>
      </w:r>
    </w:p>
    <w:p>
      <w:pPr>
        <w:pStyle w:val="BodyText"/>
      </w:pPr>
      <w:r>
        <w:t xml:space="preserve">Plot 45, Kilimani Road, Nairobi, Kenya | P.O. Box 12345-00100, Nairobi</w:t>
      </w:r>
    </w:p>
    <w:p>
      <w:pPr>
        <w:pStyle w:val="BodyText"/>
      </w:pPr>
      <w:r>
        <w:t xml:space="preserve">Tel: +254-700-123-456 | Email: procurement@nairobivisioncare.co.ke</w:t>
      </w:r>
    </w:p>
    <w:p>
      <w:pPr>
        <w:pStyle w:val="BodyText"/>
      </w:pPr>
      <w:r>
        <w:t xml:space="preserve">KRA PIN: P051234567X | License No. KPHC-2024-0891</w:t>
      </w:r>
    </w:p>
    <w:bookmarkEnd w:id="20"/>
    <w:p>
      <w:pPr>
        <w:pStyle w:val="BodyText"/>
      </w:pPr>
      <w:r>
        <w:rPr>
          <w:bCs/>
          <w:b/>
        </w:rPr>
        <w:t xml:space="preserve">Purchase Order No.:</w:t>
      </w:r>
      <w:r>
        <w:t xml:space="preserve"> </w:t>
      </w:r>
      <w:r>
        <w:t xml:space="preserve">PO-NVC-2025-00472</w:t>
      </w:r>
    </w:p>
    <w:p>
      <w:pPr>
        <w:pStyle w:val="BodyText"/>
      </w:pPr>
      <w:r>
        <w:rPr>
          <w:bCs/>
          <w:b/>
        </w:rPr>
        <w:t xml:space="preserve">Date of Issue:</w:t>
      </w:r>
      <w:r>
        <w:t xml:space="preserve"> </w:t>
      </w:r>
      <w:r>
        <w:t xml:space="preserve">15th June 2025</w:t>
      </w:r>
    </w:p>
    <w:p>
      <w:pPr>
        <w:pStyle w:val="BodyText"/>
      </w:pPr>
      <w:r>
        <w:rPr>
          <w:bCs/>
          <w:b/>
        </w:rPr>
        <w:t xml:space="preserve">Delivery Location:</w:t>
      </w:r>
      <w:r>
        <w:t xml:space="preserve"> </w:t>
      </w:r>
      <w:r>
        <w:t xml:space="preserve">Nairobi, Kenya</w:t>
      </w:r>
    </w:p>
    <w:p>
      <w:pPr>
        <w:pStyle w:val="BodyText"/>
      </w:pPr>
      <w:r>
        <w:rPr>
          <w:bCs/>
          <w:b/>
        </w:rPr>
        <w:t xml:space="preserve">Valid Until:</w:t>
      </w:r>
      <w:r>
        <w:t xml:space="preserve"> </w:t>
      </w:r>
      <w:r>
        <w:t xml:space="preserve">15th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Kenyan Shillings (KES)</w:t>
      </w:r>
    </w:p>
    <w:p>
      <w:pPr>
        <w:pStyle w:val="BodyText"/>
      </w:pPr>
      <w:r>
        <w:t xml:space="preserve">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Provider Name:</w:t>
            </w:r>
          </w:p>
        </w:tc>
        <w:tc>
          <w:tcPr/>
          <w:p>
            <w:pPr>
              <w:pStyle w:val="Compact"/>
              <w:jc w:val="left"/>
            </w:pPr>
            <w:r>
              <w:t xml:space="preserve">Dr. Amina Wanjiru Ochieng, Consultant Ophthalmologist</w:t>
            </w:r>
          </w:p>
        </w:tc>
      </w:tr>
      <w:tr>
        <w:tc>
          <w:tcPr/>
          <w:p>
            <w:pPr>
              <w:pStyle w:val="Compact"/>
              <w:jc w:val="left"/>
            </w:pPr>
            <w:r>
              <w:rPr>
                <w:bCs/>
                <w:b/>
              </w:rPr>
              <w:t xml:space="preserve">Practice Name:</w:t>
            </w:r>
          </w:p>
        </w:tc>
        <w:tc>
          <w:tcPr/>
          <w:p>
            <w:pPr>
              <w:pStyle w:val="Compact"/>
              <w:jc w:val="left"/>
            </w:pPr>
            <w:r>
              <w:t xml:space="preserve">Nairobi Eye &amp; Vision Specialist Clinic</w:t>
            </w:r>
          </w:p>
        </w:tc>
      </w:tr>
      <w:tr>
        <w:tc>
          <w:tcPr/>
          <w:p>
            <w:pPr>
              <w:pStyle w:val="Compact"/>
              <w:jc w:val="left"/>
            </w:pPr>
            <w:r>
              <w:rPr>
                <w:bCs/>
                <w:b/>
              </w:rPr>
              <w:t xml:space="preserve">Address:</w:t>
            </w:r>
          </w:p>
        </w:tc>
        <w:tc>
          <w:tcPr/>
          <w:p>
            <w:pPr>
              <w:pStyle w:val="Compact"/>
              <w:jc w:val="left"/>
            </w:pPr>
            <w:r>
              <w:t xml:space="preserve">Suite 12, Argwings Kodhek Road, Westlands, Nairobi, Kenya</w:t>
            </w:r>
          </w:p>
        </w:tc>
      </w:tr>
      <w:tr>
        <w:tc>
          <w:tcPr/>
          <w:p>
            <w:pPr>
              <w:pStyle w:val="Compact"/>
              <w:jc w:val="left"/>
            </w:pPr>
            <w:r>
              <w:rPr>
                <w:bCs/>
                <w:b/>
              </w:rPr>
              <w:t xml:space="preserve">Registration No.:</w:t>
            </w:r>
          </w:p>
        </w:tc>
        <w:tc>
          <w:tcPr/>
          <w:p>
            <w:pPr>
              <w:pStyle w:val="Compact"/>
              <w:jc w:val="left"/>
            </w:pPr>
            <w:r>
              <w:t xml:space="preserve">KEPHB-OPH-2019-0342 (Kenya Pharmacy and Poisons Board / Medical Practitioners &amp; Dentists Council of Kenya)</w:t>
            </w:r>
          </w:p>
        </w:tc>
      </w:tr>
      <w:tr>
        <w:tc>
          <w:tcPr/>
          <w:p>
            <w:pPr>
              <w:pStyle w:val="Compact"/>
              <w:jc w:val="left"/>
            </w:pPr>
            <w:r>
              <w:rPr>
                <w:bCs/>
                <w:b/>
              </w:rPr>
              <w:t xml:space="preserve">Contact:</w:t>
            </w:r>
          </w:p>
        </w:tc>
        <w:tc>
          <w:tcPr/>
          <w:p>
            <w:pPr>
              <w:pStyle w:val="Compact"/>
              <w:jc w:val="left"/>
            </w:pPr>
            <w:r>
              <w:t xml:space="preserve">+254-722-987-654 | dr.ochieng@nairobieyespecialist.co.ke</w:t>
            </w:r>
          </w:p>
        </w:tc>
      </w:tr>
      <w:tr>
        <w:tc>
          <w:tcPr/>
          <w:p>
            <w:pPr>
              <w:pStyle w:val="Compact"/>
              <w:jc w:val="left"/>
            </w:pPr>
            <w:r>
              <w:rPr>
                <w:bCs/>
                <w:b/>
              </w:rPr>
              <w:t xml:space="preserve">KRA PIN:</w:t>
            </w:r>
          </w:p>
        </w:tc>
        <w:tc>
          <w:tcPr/>
          <w:p>
            <w:pPr>
              <w:pStyle w:val="Compact"/>
              <w:jc w:val="left"/>
            </w:pPr>
            <w:r>
              <w:t xml:space="preserve">P059876543X</w:t>
            </w:r>
          </w:p>
        </w:tc>
      </w:tr>
    </w:tbl>
    <w:p>
      <w:pPr>
        <w:pStyle w:val="BodyText"/>
      </w:pPr>
      <w:r>
        <w:t xml:space="preserve">PURCHASE ORDER LINE ITEMS – Ophthalmology Services &amp;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01</w:t>
            </w:r>
          </w:p>
        </w:tc>
        <w:tc>
          <w:tcPr/>
          <w:p>
            <w:pPr>
              <w:pStyle w:val="Compact"/>
              <w:jc w:val="left"/>
            </w:pPr>
            <w:r>
              <w:t xml:space="preserve">Comprehensive Ophthalmologist Consultation – Full diagnostic eye examination including slit-lamp biomicroscopy, tonometry, and visual field assessment for 50 patients</w:t>
            </w:r>
          </w:p>
        </w:tc>
        <w:tc>
          <w:tcPr/>
          <w:p>
            <w:pPr>
              <w:pStyle w:val="Compact"/>
              <w:jc w:val="left"/>
            </w:pPr>
            <w:r>
              <w:t xml:space="preserve">50</w:t>
            </w:r>
          </w:p>
        </w:tc>
        <w:tc>
          <w:tcPr/>
          <w:p>
            <w:pPr>
              <w:pStyle w:val="Compact"/>
              <w:jc w:val="left"/>
            </w:pPr>
            <w:r>
              <w:t xml:space="preserve">Sessions</w:t>
            </w:r>
          </w:p>
        </w:tc>
        <w:tc>
          <w:tcPr/>
          <w:p>
            <w:pPr>
              <w:pStyle w:val="Compact"/>
              <w:jc w:val="left"/>
            </w:pPr>
            <w:r>
              <w:t xml:space="preserve">4,500.00</w:t>
            </w:r>
          </w:p>
        </w:tc>
        <w:tc>
          <w:tcPr/>
          <w:p>
            <w:pPr>
              <w:pStyle w:val="Compact"/>
              <w:jc w:val="left"/>
            </w:pPr>
            <w:r>
              <w:t xml:space="preserve">225,000.00</w:t>
            </w:r>
          </w:p>
        </w:tc>
      </w:tr>
      <w:tr>
        <w:tc>
          <w:tcPr/>
          <w:p>
            <w:pPr>
              <w:pStyle w:val="Compact"/>
              <w:jc w:val="left"/>
            </w:pPr>
            <w:r>
              <w:t xml:space="preserve">02</w:t>
            </w:r>
          </w:p>
        </w:tc>
        <w:tc>
          <w:tcPr/>
          <w:p>
            <w:pPr>
              <w:pStyle w:val="Compact"/>
              <w:jc w:val="left"/>
            </w:pPr>
            <w:r>
              <w:t xml:space="preserve">Cataract Surgery (Phacoemulsification with Intraocular Lens Implantation) – Performed by the Ophthalmologist at Nairobi Eye &amp; Vision Specialist Clinic</w:t>
            </w:r>
          </w:p>
        </w:tc>
        <w:tc>
          <w:tcPr/>
          <w:p>
            <w:pPr>
              <w:pStyle w:val="Compact"/>
              <w:jc w:val="left"/>
            </w:pPr>
            <w:r>
              <w:t xml:space="preserve">12</w:t>
            </w:r>
          </w:p>
        </w:tc>
        <w:tc>
          <w:tcPr/>
          <w:p>
            <w:pPr>
              <w:pStyle w:val="Compact"/>
              <w:jc w:val="left"/>
            </w:pPr>
            <w:r>
              <w:t xml:space="preserve">Procedures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03</w:t>
            </w:r>
          </w:p>
        </w:tc>
        <w:tc>
          <w:tcPr/>
          <w:p>
            <w:pPr>
              <w:pStyle w:val="Compact"/>
              <w:jc w:val="left"/>
            </w:pPr>
            <w:r>
              <w:t xml:space="preserve">Retinal Laser Photocoagulation Treatment – Administered by the Ophthalmologist for diabetic retinopathy management</w:t>
            </w:r>
          </w:p>
        </w:tc>
        <w:tc>
          <w:tcPr/>
          <w:p>
            <w:pPr>
              <w:pStyle w:val="Compact"/>
              <w:jc w:val="left"/>
            </w:pPr>
            <w:r>
              <w:t xml:space="preserve">8</w:t>
            </w:r>
          </w:p>
        </w:tc>
        <w:tc>
          <w:tcPr/>
          <w:p>
            <w:pPr>
              <w:pStyle w:val="Compact"/>
              <w:jc w:val="left"/>
            </w:pPr>
            <w:r>
              <w:t xml:space="preserve">Sessions</w:t>
            </w:r>
          </w:p>
        </w:tc>
        <w:tc>
          <w:tcPr/>
          <w:p>
            <w:pPr>
              <w:pStyle w:val="Compact"/>
              <w:jc w:val="left"/>
            </w:pPr>
            <w:r>
              <w:t xml:space="preserve">35,000.00</w:t>
            </w:r>
          </w:p>
        </w:tc>
        <w:tc>
          <w:tcPr/>
          <w:p>
            <w:pPr>
              <w:pStyle w:val="Compact"/>
              <w:jc w:val="left"/>
            </w:pPr>
            <w:r>
              <w:t xml:space="preserve">280,000.00</w:t>
            </w:r>
          </w:p>
        </w:tc>
      </w:tr>
      <w:tr>
        <w:tc>
          <w:tcPr/>
          <w:p>
            <w:pPr>
              <w:pStyle w:val="Compact"/>
              <w:jc w:val="left"/>
            </w:pPr>
            <w:r>
              <w:t xml:space="preserve">04</w:t>
            </w:r>
          </w:p>
        </w:tc>
        <w:tc>
          <w:tcPr/>
          <w:p>
            <w:pPr>
              <w:pStyle w:val="Compact"/>
              <w:jc w:val="left"/>
            </w:pPr>
            <w:r>
              <w:t xml:space="preserve">Optical Coherence Tomography (OCT) Imaging – 200 scans to be conducted under the Ophthalmologist's supervision</w:t>
            </w:r>
          </w:p>
        </w:tc>
        <w:tc>
          <w:tcPr/>
          <w:p>
            <w:pPr>
              <w:pStyle w:val="Compact"/>
              <w:jc w:val="left"/>
            </w:pPr>
            <w:r>
              <w:t xml:space="preserve">200</w:t>
            </w:r>
          </w:p>
        </w:tc>
        <w:tc>
          <w:tcPr/>
          <w:p>
            <w:pPr>
              <w:pStyle w:val="Compact"/>
              <w:jc w:val="left"/>
            </w:pPr>
            <w:r>
              <w:t xml:space="preserve">Scans</w:t>
            </w:r>
          </w:p>
        </w:tc>
        <w:tc>
          <w:tcPr/>
          <w:p>
            <w:pPr>
              <w:pStyle w:val="Compact"/>
              <w:jc w:val="left"/>
            </w:pPr>
            <w:r>
              <w:t xml:space="preserve">1,200.00</w:t>
            </w:r>
          </w:p>
        </w:tc>
        <w:tc>
          <w:tcPr/>
          <w:p>
            <w:pPr>
              <w:pStyle w:val="Compact"/>
              <w:jc w:val="left"/>
            </w:pPr>
            <w:r>
              <w:t xml:space="preserve">240,000.00</w:t>
            </w:r>
          </w:p>
        </w:tc>
      </w:tr>
      <w:tr>
        <w:tc>
          <w:tcPr/>
          <w:p>
            <w:pPr>
              <w:pStyle w:val="Compact"/>
              <w:jc w:val="left"/>
            </w:pPr>
            <w:r>
              <w:t xml:space="preserve">05</w:t>
            </w:r>
          </w:p>
        </w:tc>
        <w:tc>
          <w:tcPr/>
          <w:p>
            <w:pPr>
              <w:pStyle w:val="Compact"/>
              <w:jc w:val="left"/>
            </w:pPr>
            <w:r>
              <w:t xml:space="preserve">Post-Operative Follow-Up Visits – Ophthalmologist review for all surgical patients (3 visits per patient)</w:t>
            </w:r>
          </w:p>
        </w:tc>
        <w:tc>
          <w:tcPr/>
          <w:p>
            <w:pPr>
              <w:pStyle w:val="Compact"/>
              <w:jc w:val="left"/>
            </w:pPr>
            <w:r>
              <w:t xml:space="preserve">36</w:t>
            </w:r>
          </w:p>
        </w:tc>
        <w:tc>
          <w:tcPr/>
          <w:p>
            <w:pPr>
              <w:pStyle w:val="Compact"/>
              <w:jc w:val="left"/>
            </w:pPr>
            <w:r>
              <w:t xml:space="preserve">Visits</w:t>
            </w:r>
          </w:p>
        </w:tc>
        <w:tc>
          <w:tcPr/>
          <w:p>
            <w:pPr>
              <w:pStyle w:val="Compact"/>
              <w:jc w:val="left"/>
            </w:pPr>
            <w:r>
              <w:t xml:space="preserve">2,500.00</w:t>
            </w:r>
          </w:p>
        </w:tc>
        <w:tc>
          <w:tcPr/>
          <w:p>
            <w:pPr>
              <w:pStyle w:val="Compact"/>
              <w:jc w:val="left"/>
            </w:pPr>
            <w:r>
              <w:t xml:space="preserve">90,000.00</w:t>
            </w:r>
          </w:p>
        </w:tc>
      </w:tr>
      <w:tr>
        <w:tc>
          <w:tcPr/>
          <w:p>
            <w:pPr>
              <w:pStyle w:val="Compact"/>
              <w:jc w:val="left"/>
            </w:pPr>
            <w:r>
              <w:t xml:space="preserve">06</w:t>
            </w:r>
          </w:p>
        </w:tc>
        <w:tc>
          <w:tcPr/>
          <w:p>
            <w:pPr>
              <w:pStyle w:val="Compact"/>
              <w:jc w:val="left"/>
            </w:pPr>
            <w:r>
              <w:t xml:space="preserve">Prescription of and Dispensing of Ophthalmic Medications (Antibiotic drops, anti-inflammatory agents, IOL care solutions)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07</w:t>
            </w:r>
          </w:p>
        </w:tc>
        <w:tc>
          <w:tcPr/>
          <w:p>
            <w:pPr>
              <w:pStyle w:val="Compact"/>
              <w:jc w:val="left"/>
            </w:pPr>
            <w:r>
              <w:t xml:space="preserve">Emergency Ophthalmologist On-Call Service – 24/7 availability for acute ocular emergencies at Nairobi Vision Care Centre, Nairobi</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25,000.00</w:t>
            </w:r>
          </w:p>
        </w:tc>
        <w:tc>
          <w:tcPr/>
          <w:p>
            <w:pPr>
              <w:pStyle w:val="Compact"/>
              <w:jc w:val="left"/>
            </w:pPr>
            <w:r>
              <w:t xml:space="preserve">300,000.00</w:t>
            </w:r>
          </w:p>
        </w:tc>
      </w:tr>
      <w:tr>
        <w:tc>
          <w:tcPr>
            <w:gridSpan w:val="5"/>
          </w:tcPr>
          <w:p>
            <w:pPr>
              <w:pStyle w:val="Compact"/>
              <w:jc w:val="right"/>
            </w:pPr>
            <w:r>
              <w:rPr>
                <w:bCs/>
                <w:b/>
              </w:rPr>
              <w:t xml:space="preserve">Subtotal:</w:t>
            </w:r>
          </w:p>
        </w:tc>
        <w:tc>
          <w:tcPr/>
          <w:p>
            <w:pPr>
              <w:pStyle w:val="Compact"/>
              <w:jc w:val="left"/>
            </w:pPr>
            <w:r>
              <w:rPr>
                <w:bCs/>
                <w:b/>
              </w:rPr>
              <w:t xml:space="preserve">2,300,000.00</w:t>
            </w:r>
          </w:p>
        </w:tc>
      </w:tr>
      <w:tr>
        <w:tc>
          <w:tcPr>
            <w:gridSpan w:val="5"/>
          </w:tcPr>
          <w:p>
            <w:pPr>
              <w:pStyle w:val="Compact"/>
              <w:jc w:val="right"/>
            </w:pPr>
            <w:r>
              <w:rPr>
                <w:bCs/>
                <w:b/>
              </w:rPr>
              <w:t xml:space="preserve">VAT (16%):</w:t>
            </w:r>
          </w:p>
        </w:tc>
        <w:tc>
          <w:tcPr/>
          <w:p>
            <w:pPr>
              <w:pStyle w:val="Compact"/>
              <w:jc w:val="left"/>
            </w:pPr>
            <w:r>
              <w:rPr>
                <w:bCs/>
                <w:b/>
              </w:rPr>
              <w:t xml:space="preserve">368,000.00</w:t>
            </w:r>
          </w:p>
        </w:tc>
      </w:tr>
      <w:tr>
        <w:tc>
          <w:tcPr>
            <w:gridSpan w:val="5"/>
          </w:tcPr>
          <w:p>
            <w:pPr>
              <w:pStyle w:val="Compact"/>
              <w:jc w:val="right"/>
            </w:pPr>
            <w:r>
              <w:rPr>
                <w:bCs/>
                <w:b/>
              </w:rPr>
              <w:t xml:space="preserve">GRAND TOTAL (KES):</w:t>
            </w:r>
          </w:p>
        </w:tc>
        <w:tc>
          <w:tcPr/>
          <w:p>
            <w:pPr>
              <w:pStyle w:val="Compact"/>
              <w:jc w:val="left"/>
            </w:pPr>
            <w:r>
              <w:rPr>
                <w:bCs/>
                <w:b/>
              </w:rPr>
              <w:t xml:space="preserve">2,668,000.00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issued by Nairobi Vision Care Centre Ltd., Nairobi, Kenya, and constitutes a binding agreement for the procurement of ophthalmology services and related medical supplies as detailed above.</w:t>
      </w:r>
    </w:p>
    <w:p>
      <w:pPr>
        <w:numPr>
          <w:ilvl w:val="0"/>
          <w:numId w:val="1001"/>
        </w:numPr>
        <w:pStyle w:val="Compact"/>
      </w:pPr>
      <w:r>
        <w:t xml:space="preserve">All services shall be rendered by the named</w:t>
      </w:r>
      <w:r>
        <w:t xml:space="preserve"> </w:t>
      </w:r>
      <w:r>
        <w:t xml:space="preserve">Ophthalmologist</w:t>
      </w:r>
      <w:r>
        <w:t xml:space="preserve">, Dr. Amina Wanjiru Ochieng, or by a duly qualified substitute Ophthalmologist approved in writing by the purchasing entity. The substitute must hold a valid license from the Medical Practitioners &amp; Dentists Council of Kenya.</w:t>
      </w:r>
    </w:p>
    <w:p>
      <w:pPr>
        <w:numPr>
          <w:ilvl w:val="0"/>
          <w:numId w:val="1001"/>
        </w:numPr>
        <w:pStyle w:val="Compact"/>
      </w:pPr>
      <w:r>
        <w:t xml:space="preserve">Services shall be delivered at the Nairobi Eye &amp; Vision Specialist Clinic, Westlands,</w:t>
      </w:r>
      <w:r>
        <w:t xml:space="preserve"> </w:t>
      </w:r>
      <w:r>
        <w:t xml:space="preserve">Kenya Nairobi</w:t>
      </w:r>
      <w:r>
        <w:t xml:space="preserve">, or at such other location within Nairobi as mutually agreed upon in writing.</w:t>
      </w:r>
    </w:p>
    <w:p>
      <w:pPr>
        <w:numPr>
          <w:ilvl w:val="0"/>
          <w:numId w:val="1001"/>
        </w:numPr>
        <w:pStyle w:val="Compact"/>
      </w:pPr>
      <w:r>
        <w:t xml:space="preserve">Payment shall be made within thirty (30) calendar days of receipt of a valid tax invoice from the Ophthalmologist's practice. Payment shall be processed via bank transfer to the account specified on the invoice. All payments are subject to the applicable Kenyan tax regulations as administered by the Kenya Revenue Authority (KRA).</w:t>
      </w:r>
    </w:p>
    <w:p>
      <w:pPr>
        <w:numPr>
          <w:ilvl w:val="0"/>
          <w:numId w:val="1001"/>
        </w:numPr>
        <w:pStyle w:val="Compact"/>
      </w:pPr>
      <w:r>
        <w:t xml:space="preserve">The Ophthalmologist shall maintain full professional indemnity insurance with a minimum cover of KES 10,000,000, valid throughout the duration of this Purchase Order. A certificate of insurance shall be provided prior to commencement of services.</w:t>
      </w:r>
    </w:p>
    <w:p>
      <w:pPr>
        <w:numPr>
          <w:ilvl w:val="0"/>
          <w:numId w:val="1001"/>
        </w:numPr>
        <w:pStyle w:val="Compact"/>
      </w:pPr>
      <w:r>
        <w:t xml:space="preserve">All patient records, diagnostic imaging, and clinical data generated under this Purchase Order shall be stored in accordance with the Data Protection Act, 2019 of Kenya. No patient information shall be shared with third parties without explicit written consent.</w:t>
      </w:r>
    </w:p>
    <w:p>
      <w:pPr>
        <w:numPr>
          <w:ilvl w:val="0"/>
          <w:numId w:val="1001"/>
        </w:numPr>
        <w:pStyle w:val="Compact"/>
      </w:pPr>
      <w:r>
        <w:t xml:space="preserve">The Ophthalmologist warrants that all equipment, instruments, and pharmaceuticals used in the delivery of services shall be of the highest quality, CE-marked or FDA-approved where applicable, and compliant with the Kenya Bureau of Standards (KEBS) regulations.</w:t>
      </w:r>
    </w:p>
    <w:p>
      <w:pPr>
        <w:numPr>
          <w:ilvl w:val="0"/>
          <w:numId w:val="1001"/>
        </w:numPr>
        <w:pStyle w:val="Compact"/>
      </w:pPr>
      <w:r>
        <w:t xml:space="preserve">Any cancellation or modification of this Purchase Order must be communicated in writing at least fourteen (14) days prior to the scheduled service date. Cancellations made within fourteen days shall be subject to a 25% administrative fee on the value of the cancelled line items.</w:t>
      </w:r>
    </w:p>
    <w:p>
      <w:pPr>
        <w:numPr>
          <w:ilvl w:val="0"/>
          <w:numId w:val="1001"/>
        </w:numPr>
        <w:pStyle w:val="Compact"/>
      </w:pPr>
      <w:r>
        <w:t xml:space="preserve">This Purchase Order shall be governed by and construed in accordance with the laws of the Republic of Kenya. Any disputes arising from this Purchase Order shall be resolved through arbitration in Nairobi, Kenya, in accordance with the Arbitration Act, 1995.</w:t>
      </w:r>
    </w:p>
    <w:p>
      <w:pPr>
        <w:numPr>
          <w:ilvl w:val="0"/>
          <w:numId w:val="1001"/>
        </w:numPr>
        <w:pStyle w:val="Compact"/>
      </w:pPr>
      <w:r>
        <w:t xml:space="preserve">The Ophthalmologist shall provide a written clinical summary and discharge report for each patient within five (5) business days of the final consultation or procedure.</w:t>
      </w:r>
    </w:p>
    <w:p>
      <w:pPr>
        <w:numPr>
          <w:ilvl w:val="0"/>
          <w:numId w:val="1001"/>
        </w:numPr>
        <w:pStyle w:val="Compact"/>
      </w:pPr>
      <w:r>
        <w:t xml:space="preserve">This Purchase Order is valid for a period of twelve (12) months from the date of issue, unless terminated earlier by mutual written agreement or in accordance with the termination clauses herein.</w:t>
      </w:r>
    </w:p>
    <w:p>
      <w:pPr>
        <w:pStyle w:val="FirstParagraph"/>
      </w:pPr>
      <w:r>
        <w:t xml:space="preserve">APPROVAL AND AUTHORIZATION</w:t>
      </w:r>
    </w:p>
    <w:p>
      <w:pPr>
        <w:pStyle w:val="BodyText"/>
      </w:pPr>
      <w:r>
        <w:rPr>
          <w:bCs/>
          <w:b/>
        </w:rPr>
        <w:t xml:space="preserve">For and on behalf of Nairobi Vision Care Centre Ltd.:</w:t>
      </w:r>
    </w:p>
    <w:p>
      <w:pPr>
        <w:pStyle w:val="BodyText"/>
      </w:pPr>
      <w:r>
        <w:t xml:space="preserve">Name: Mr. David Mwangi Kariuki</w:t>
      </w:r>
    </w:p>
    <w:p>
      <w:pPr>
        <w:pStyle w:val="BodyText"/>
      </w:pPr>
      <w:r>
        <w:t xml:space="preserve">Title: Chief Procurement Officer</w:t>
      </w:r>
    </w:p>
    <w:p>
      <w:pPr>
        <w:pStyle w:val="BodyText"/>
      </w:pPr>
      <w:r>
        <w:t xml:space="preserve">Signature &amp; Date</w:t>
      </w:r>
    </w:p>
    <w:p>
      <w:pPr>
        <w:pStyle w:val="BodyText"/>
      </w:pPr>
      <w:r>
        <w:rPr>
          <w:bCs/>
          <w:b/>
        </w:rPr>
        <w:t xml:space="preserve">For and on behalf of the Ophthalmologist / Service Provider:</w:t>
      </w:r>
    </w:p>
    <w:p>
      <w:pPr>
        <w:pStyle w:val="BodyText"/>
      </w:pPr>
      <w:r>
        <w:t xml:space="preserve">Name: Dr. Amina Wanjiru Ochieng</w:t>
      </w:r>
    </w:p>
    <w:p>
      <w:pPr>
        <w:pStyle w:val="BodyText"/>
      </w:pPr>
      <w:r>
        <w:t xml:space="preserve">Title: Consultant Ophthalmologist</w:t>
      </w:r>
    </w:p>
    <w:p>
      <w:pPr>
        <w:pStyle w:val="BodyText"/>
      </w:pPr>
      <w:r>
        <w:t xml:space="preserve">Signature &amp; Date</w:t>
      </w:r>
    </w:p>
    <w:p>
      <w:pPr>
        <w:pStyle w:val="BodyText"/>
      </w:pPr>
      <w:r>
        <w:t xml:space="preserve">This Purchase Order (PO-NVC-2025-00472) is issued in Nairobi, Kenya. All references to the Ophthalmologist pertain to the licensed medical practitioner identified herein. This document is the property of Nairobi Vision Care Centre Ltd. and is intended solely for the use of the parties named above. Unauthorized reproduction or distribution is prohibited under Kenyan law.</w:t>
      </w:r>
    </w:p>
    <w:p>
      <w:pPr>
        <w:pStyle w:val="BodyText"/>
      </w:pPr>
      <w:r>
        <w:t xml:space="preserve">Page 1 of 1 | Generated: 15 June 2025 | Nairobi, Kenya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Ophthalmology Services - Kenya Nairobi</dc:title>
  <dc:creator/>
  <dc:language>en</dc:language>
  <cp:keywords/>
  <dcterms:created xsi:type="dcterms:W3CDTF">2026-10-10T01:22:26Z</dcterms:created>
  <dcterms:modified xsi:type="dcterms:W3CDTF">2026-10-10T01:22:26Z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