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rPr>
          <w:bCs/>
          <w:b/>
        </w:rPr>
        <w:t xml:space="preserve">MediSight Healthcare Group Sdn. Bhd.</w:t>
      </w:r>
    </w:p>
    <w:p>
      <w:pPr>
        <w:pStyle w:val="BodyText"/>
      </w:pPr>
      <w:r>
        <w:t xml:space="preserve">No. 12, Jalan Ampang, 50450 Kuala Lumpur, Malaysia</w:t>
      </w:r>
    </w:p>
    <w:p>
      <w:pPr>
        <w:pStyle w:val="BodyText"/>
      </w:pPr>
      <w:r>
        <w:t xml:space="preserve">Registration No.: 201901045678 (K) | SST Registration: 001234567890</w:t>
      </w:r>
    </w:p>
    <w:p>
      <w:pPr>
        <w:pStyle w:val="BodyText"/>
      </w:pPr>
      <w:r>
        <w:t xml:space="preserve">Tel: +603-2145 6789 | Email: procurement@medisightkl.com.my</w:t>
      </w:r>
    </w:p>
    <w:bookmarkEnd w:id="20"/>
    <w:p>
      <w:pPr>
        <w:pStyle w:val="BodyText"/>
      </w:pPr>
      <w:r>
        <w:rPr>
          <w:bCs/>
          <w:b/>
        </w:rPr>
        <w:t xml:space="preserve">Purchase Order No.:</w:t>
      </w:r>
      <w:r>
        <w:t xml:space="preserve"> </w:t>
      </w:r>
      <w:r>
        <w:t xml:space="preserve">PO-2025-07842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Supplier / Ophthalmologist:</w:t>
      </w:r>
      <w:r>
        <w:br/>
      </w:r>
      <w:r>
        <w:t xml:space="preserve">Dr. Aisyah binti Rahman, Ophthalmologist</w:t>
      </w:r>
      <w:r>
        <w:br/>
      </w:r>
      <w:r>
        <w:t xml:space="preserve">VisionCare Specialist Centre</w:t>
      </w:r>
      <w:r>
        <w:br/>
      </w:r>
      <w:r>
        <w:t xml:space="preserve">Level 8, Menara KL, Jalan Sultan Ismail</w:t>
      </w:r>
      <w:r>
        <w:br/>
      </w:r>
      <w:r>
        <w:t xml:space="preserve">50250 Kuala Lumpur, Malaysia</w:t>
      </w:r>
      <w:r>
        <w:br/>
      </w:r>
      <w:r>
        <w:t xml:space="preserve">Medical License: MCMC/OPH/2018/4472</w:t>
      </w:r>
    </w:p>
    <w:p>
      <w:pPr>
        <w:pStyle w:val="BodyText"/>
      </w:pPr>
      <w:r>
        <w:rPr>
          <w:bCs/>
          <w:b/>
        </w:rPr>
        <w:t xml:space="preserve">Delivery Location:</w:t>
      </w:r>
      <w:r>
        <w:br/>
      </w:r>
      <w:r>
        <w:t xml:space="preserve">MediSight Outpatient Clinic</w:t>
      </w:r>
      <w:r>
        <w:br/>
      </w:r>
      <w:r>
        <w:t xml:space="preserve">Block C, Level 3, Bangsar South</w:t>
      </w:r>
      <w:r>
        <w:br/>
      </w:r>
      <w:r>
        <w:t xml:space="preserve">59000 Kuala Lumpur, Malaysia</w:t>
      </w:r>
      <w:r>
        <w:br/>
      </w:r>
      <w:r>
        <w:rPr>
          <w:bCs/>
          <w:b/>
        </w:rPr>
        <w:t xml:space="preserve">Delivery Date:</w:t>
      </w:r>
      <w:r>
        <w:t xml:space="preserve"> </w:t>
      </w:r>
      <w:r>
        <w:t xml:space="preserve">30 June 2025</w:t>
      </w:r>
    </w:p>
    <w:p>
      <w:pPr>
        <w:pStyle w:val="BodyText"/>
      </w:pPr>
      <w:r>
        <w:t xml:space="preserve">Line Items – Ophthalmic Equipment, Supplies &amp; Professional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c>
          <w:tcPr/>
          <w:p>
            <w:pPr>
              <w:pStyle w:val="Compact"/>
              <w:jc w:val="left"/>
            </w:pPr>
            <w:r>
              <w:t xml:space="preserve">SST %</w:t>
            </w:r>
          </w:p>
        </w:tc>
      </w:tr>
      <w:tr>
        <w:tc>
          <w:tcPr/>
          <w:p>
            <w:pPr>
              <w:pStyle w:val="Compact"/>
              <w:jc w:val="left"/>
            </w:pPr>
            <w:r>
              <w:t xml:space="preserve">1</w:t>
            </w:r>
          </w:p>
        </w:tc>
        <w:tc>
          <w:tcPr/>
          <w:p>
            <w:pPr>
              <w:pStyle w:val="Compact"/>
              <w:jc w:val="left"/>
            </w:pPr>
            <w:r>
              <w:t xml:space="preserve">Comprehensive Ophthalmologist Consultation &amp; Diagnostic Assessment (per patient session, 45 min)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42,000.00</w:t>
            </w:r>
          </w:p>
        </w:tc>
        <w:tc>
          <w:tcPr/>
          <w:p>
            <w:pPr>
              <w:pStyle w:val="Compact"/>
              <w:jc w:val="left"/>
            </w:pPr>
            <w:r>
              <w:t xml:space="preserve">6%</w:t>
            </w:r>
          </w:p>
        </w:tc>
      </w:tr>
      <w:tr>
        <w:tc>
          <w:tcPr/>
          <w:p>
            <w:pPr>
              <w:pStyle w:val="Compact"/>
              <w:jc w:val="left"/>
            </w:pPr>
            <w:r>
              <w:t xml:space="preserve">2</w:t>
            </w:r>
          </w:p>
        </w:tc>
        <w:tc>
          <w:tcPr/>
          <w:p>
            <w:pPr>
              <w:pStyle w:val="Compact"/>
              <w:jc w:val="left"/>
            </w:pPr>
            <w:r>
              <w:t xml:space="preserve">Optical Coherence Tomography (OCT) Retinal Imaging – performed by Ophthalmologist</w:t>
            </w:r>
          </w:p>
        </w:tc>
        <w:tc>
          <w:tcPr/>
          <w:p>
            <w:pPr>
              <w:pStyle w:val="Compact"/>
              <w:jc w:val="left"/>
            </w:pPr>
            <w:r>
              <w:t xml:space="preserve">80</w:t>
            </w:r>
          </w:p>
        </w:tc>
        <w:tc>
          <w:tcPr/>
          <w:p>
            <w:pPr>
              <w:pStyle w:val="Compact"/>
              <w:jc w:val="left"/>
            </w:pPr>
            <w:r>
              <w:t xml:space="preserve">Scans</w:t>
            </w:r>
          </w:p>
        </w:tc>
        <w:tc>
          <w:tcPr/>
          <w:p>
            <w:pPr>
              <w:pStyle w:val="Compact"/>
              <w:jc w:val="left"/>
            </w:pPr>
            <w:r>
              <w:t xml:space="preserve">180.00</w:t>
            </w:r>
          </w:p>
        </w:tc>
        <w:tc>
          <w:tcPr/>
          <w:p>
            <w:pPr>
              <w:pStyle w:val="Compact"/>
              <w:jc w:val="left"/>
            </w:pPr>
            <w:r>
              <w:t xml:space="preserve">14,400.00</w:t>
            </w:r>
          </w:p>
        </w:tc>
        <w:tc>
          <w:tcPr/>
          <w:p>
            <w:pPr>
              <w:pStyle w:val="Compact"/>
              <w:jc w:val="left"/>
            </w:pPr>
            <w:r>
              <w:t xml:space="preserve">6%</w:t>
            </w:r>
          </w:p>
        </w:tc>
      </w:tr>
      <w:tr>
        <w:tc>
          <w:tcPr/>
          <w:p>
            <w:pPr>
              <w:pStyle w:val="Compact"/>
              <w:jc w:val="left"/>
            </w:pPr>
            <w:r>
              <w:t xml:space="preserve">3</w:t>
            </w:r>
          </w:p>
        </w:tc>
        <w:tc>
          <w:tcPr/>
          <w:p>
            <w:pPr>
              <w:pStyle w:val="Compact"/>
              <w:jc w:val="left"/>
            </w:pPr>
            <w:r>
              <w:t xml:space="preserve">Phacoemulsification Cataract Surgery Kit (single-use, Ophthalmologist-supplied)</w:t>
            </w:r>
          </w:p>
        </w:tc>
        <w:tc>
          <w:tcPr/>
          <w:p>
            <w:pPr>
              <w:pStyle w:val="Compact"/>
              <w:jc w:val="left"/>
            </w:pPr>
            <w:r>
              <w:t xml:space="preserve">15</w:t>
            </w:r>
          </w:p>
        </w:tc>
        <w:tc>
          <w:tcPr/>
          <w:p>
            <w:pPr>
              <w:pStyle w:val="Compact"/>
              <w:jc w:val="left"/>
            </w:pPr>
            <w:r>
              <w:t xml:space="preserve">Sets</w:t>
            </w:r>
          </w:p>
        </w:tc>
        <w:tc>
          <w:tcPr/>
          <w:p>
            <w:pPr>
              <w:pStyle w:val="Compact"/>
              <w:jc w:val="left"/>
            </w:pPr>
            <w:r>
              <w:t xml:space="preserve">2,850.00</w:t>
            </w:r>
          </w:p>
        </w:tc>
        <w:tc>
          <w:tcPr/>
          <w:p>
            <w:pPr>
              <w:pStyle w:val="Compact"/>
              <w:jc w:val="left"/>
            </w:pPr>
            <w:r>
              <w:t xml:space="preserve">42,750.00</w:t>
            </w:r>
          </w:p>
        </w:tc>
        <w:tc>
          <w:tcPr/>
          <w:p>
            <w:pPr>
              <w:pStyle w:val="Compact"/>
              <w:jc w:val="left"/>
            </w:pPr>
            <w:r>
              <w:t xml:space="preserve">6%</w:t>
            </w:r>
          </w:p>
        </w:tc>
      </w:tr>
      <w:tr>
        <w:tc>
          <w:tcPr/>
          <w:p>
            <w:pPr>
              <w:pStyle w:val="Compact"/>
              <w:jc w:val="left"/>
            </w:pPr>
            <w:r>
              <w:t xml:space="preserve">4</w:t>
            </w:r>
          </w:p>
        </w:tc>
        <w:tc>
          <w:tcPr/>
          <w:p>
            <w:pPr>
              <w:pStyle w:val="Compact"/>
              <w:jc w:val="left"/>
            </w:pPr>
            <w:r>
              <w:t xml:space="preserve">Post-Operative Ophthalmologist Follow-Up Visits (3 visits per patient)</w:t>
            </w:r>
          </w:p>
        </w:tc>
        <w:tc>
          <w:tcPr/>
          <w:p>
            <w:pPr>
              <w:pStyle w:val="Compact"/>
              <w:jc w:val="left"/>
            </w:pPr>
            <w:r>
              <w:t xml:space="preserve">45</w:t>
            </w:r>
          </w:p>
        </w:tc>
        <w:tc>
          <w:tcPr/>
          <w:p>
            <w:pPr>
              <w:pStyle w:val="Compact"/>
              <w:jc w:val="left"/>
            </w:pPr>
            <w:r>
              <w:t xml:space="preserve">Visits</w:t>
            </w:r>
          </w:p>
        </w:tc>
        <w:tc>
          <w:tcPr/>
          <w:p>
            <w:pPr>
              <w:pStyle w:val="Compact"/>
              <w:jc w:val="left"/>
            </w:pPr>
            <w:r>
              <w:t xml:space="preserve">200.00</w:t>
            </w:r>
          </w:p>
        </w:tc>
        <w:tc>
          <w:tcPr/>
          <w:p>
            <w:pPr>
              <w:pStyle w:val="Compact"/>
              <w:jc w:val="left"/>
            </w:pPr>
            <w:r>
              <w:t xml:space="preserve">9,000.00</w:t>
            </w:r>
          </w:p>
        </w:tc>
        <w:tc>
          <w:tcPr/>
          <w:p>
            <w:pPr>
              <w:pStyle w:val="Compact"/>
              <w:jc w:val="left"/>
            </w:pPr>
            <w:r>
              <w:t xml:space="preserve">6%</w:t>
            </w:r>
          </w:p>
        </w:tc>
      </w:tr>
      <w:tr>
        <w:tc>
          <w:tcPr/>
          <w:p>
            <w:pPr>
              <w:pStyle w:val="Compact"/>
              <w:jc w:val="left"/>
            </w:pPr>
            <w:r>
              <w:t xml:space="preserve">5</w:t>
            </w:r>
          </w:p>
        </w:tc>
        <w:tc>
          <w:tcPr/>
          <w:p>
            <w:pPr>
              <w:pStyle w:val="Compact"/>
              <w:jc w:val="left"/>
            </w:pPr>
            <w:r>
              <w:t xml:space="preserve">Topical Ophthalmic Medications (Antibiotic &amp; Anti-inflammatory drops, 30-day supply per patient)</w:t>
            </w:r>
          </w:p>
        </w:tc>
        <w:tc>
          <w:tcPr/>
          <w:p>
            <w:pPr>
              <w:pStyle w:val="Compact"/>
              <w:jc w:val="left"/>
            </w:pPr>
            <w:r>
              <w:t xml:space="preserve">15</w:t>
            </w:r>
          </w:p>
        </w:tc>
        <w:tc>
          <w:tcPr/>
          <w:p>
            <w:pPr>
              <w:pStyle w:val="Compact"/>
              <w:jc w:val="left"/>
            </w:pPr>
            <w:r>
              <w:t xml:space="preserve">Packs</w:t>
            </w:r>
          </w:p>
        </w:tc>
        <w:tc>
          <w:tcPr/>
          <w:p>
            <w:pPr>
              <w:pStyle w:val="Compact"/>
              <w:jc w:val="left"/>
            </w:pPr>
            <w:r>
              <w:t xml:space="preserve">120.00</w:t>
            </w:r>
          </w:p>
        </w:tc>
        <w:tc>
          <w:tcPr/>
          <w:p>
            <w:pPr>
              <w:pStyle w:val="Compact"/>
              <w:jc w:val="left"/>
            </w:pPr>
            <w:r>
              <w:t xml:space="preserve">1,800.00</w:t>
            </w:r>
          </w:p>
        </w:tc>
        <w:tc>
          <w:tcPr/>
          <w:p>
            <w:pPr>
              <w:pStyle w:val="Compact"/>
              <w:jc w:val="left"/>
            </w:pPr>
            <w:r>
              <w:t xml:space="preserve">6%</w:t>
            </w:r>
          </w:p>
        </w:tc>
      </w:tr>
      <w:tr>
        <w:tc>
          <w:tcPr/>
          <w:p>
            <w:pPr>
              <w:pStyle w:val="Compact"/>
              <w:jc w:val="left"/>
            </w:pPr>
            <w:r>
              <w:t xml:space="preserve">6</w:t>
            </w:r>
          </w:p>
        </w:tc>
        <w:tc>
          <w:tcPr/>
          <w:p>
            <w:pPr>
              <w:pStyle w:val="Compact"/>
              <w:jc w:val="left"/>
            </w:pPr>
            <w:r>
              <w:t xml:space="preserve">Intraocular Lens (IOL) – Premium Toric, Ophthalmologist-specified model</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1,450.00</w:t>
            </w:r>
          </w:p>
        </w:tc>
        <w:tc>
          <w:tcPr/>
          <w:p>
            <w:pPr>
              <w:pStyle w:val="Compact"/>
              <w:jc w:val="left"/>
            </w:pPr>
            <w:r>
              <w:t xml:space="preserve">21,750.00</w:t>
            </w:r>
          </w:p>
        </w:tc>
        <w:tc>
          <w:tcPr/>
          <w:p>
            <w:pPr>
              <w:pStyle w:val="Compact"/>
              <w:jc w:val="left"/>
            </w:pPr>
            <w:r>
              <w:t xml:space="preserve">6%</w:t>
            </w:r>
          </w:p>
        </w:tc>
      </w:tr>
      <w:tr>
        <w:tc>
          <w:tcPr/>
          <w:p>
            <w:pPr>
              <w:pStyle w:val="Compact"/>
              <w:jc w:val="left"/>
            </w:pPr>
            <w:r>
              <w:t xml:space="preserve">7</w:t>
            </w:r>
          </w:p>
        </w:tc>
        <w:tc>
          <w:tcPr/>
          <w:p>
            <w:pPr>
              <w:pStyle w:val="Compact"/>
              <w:jc w:val="left"/>
            </w:pPr>
            <w:r>
              <w:t xml:space="preserve">Visual Field Perimetry &amp; Fundus Photography (Ophthalmologist-ordered diagnostic panel)</w:t>
            </w:r>
          </w:p>
        </w:tc>
        <w:tc>
          <w:tcPr/>
          <w:p>
            <w:pPr>
              <w:pStyle w:val="Compact"/>
              <w:jc w:val="left"/>
            </w:pPr>
            <w:r>
              <w:t xml:space="preserve">60</w:t>
            </w:r>
          </w:p>
        </w:tc>
        <w:tc>
          <w:tcPr/>
          <w:p>
            <w:pPr>
              <w:pStyle w:val="Compact"/>
              <w:jc w:val="left"/>
            </w:pPr>
            <w:r>
              <w:t xml:space="preserve">Tests</w:t>
            </w:r>
          </w:p>
        </w:tc>
        <w:tc>
          <w:tcPr/>
          <w:p>
            <w:pPr>
              <w:pStyle w:val="Compact"/>
              <w:jc w:val="left"/>
            </w:pPr>
            <w:r>
              <w:t xml:space="preserve">150.00</w:t>
            </w:r>
          </w:p>
        </w:tc>
        <w:tc>
          <w:tcPr/>
          <w:p>
            <w:pPr>
              <w:pStyle w:val="Compact"/>
              <w:jc w:val="left"/>
            </w:pPr>
            <w:r>
              <w:t xml:space="preserve">9,000.00</w:t>
            </w:r>
          </w:p>
        </w:tc>
        <w:tc>
          <w:tcPr/>
          <w:p>
            <w:pPr>
              <w:pStyle w:val="Compact"/>
              <w:jc w:val="left"/>
            </w:pPr>
            <w:r>
              <w:t xml:space="preserve">6%</w:t>
            </w:r>
          </w:p>
        </w:tc>
      </w:tr>
      <w:tr>
        <w:tc>
          <w:tcPr/>
          <w:p>
            <w:pPr>
              <w:pStyle w:val="Compact"/>
              <w:jc w:val="left"/>
            </w:pPr>
            <w:r>
              <w:t xml:space="preserve">8</w:t>
            </w:r>
          </w:p>
        </w:tc>
        <w:tc>
          <w:tcPr/>
          <w:p>
            <w:pPr>
              <w:pStyle w:val="Compact"/>
              <w:jc w:val="left"/>
            </w:pPr>
            <w:r>
              <w:t xml:space="preserve">Emergency Ophthalmologist On-Call Coverage (24/7, 30-day period, Kuala Lumpur metro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6%</w:t>
            </w:r>
          </w:p>
        </w:tc>
      </w:tr>
      <w:tr>
        <w:tc>
          <w:tcPr>
            <w:gridSpan w:val="5"/>
          </w:tcPr>
          <w:p>
            <w:pPr>
              <w:pStyle w:val="Compact"/>
              <w:jc w:val="right"/>
            </w:pPr>
            <w:r>
              <w:t xml:space="preserve">Subtotal (MYR)</w:t>
            </w:r>
          </w:p>
        </w:tc>
        <w:tc>
          <w:tcPr/>
          <w:p>
            <w:pPr>
              <w:pStyle w:val="Compact"/>
              <w:jc w:val="left"/>
            </w:pPr>
            <w:r>
              <w:t xml:space="preserve">149,200.00</w:t>
            </w:r>
          </w:p>
        </w:tc>
        <w:tc>
          <w:tcPr/>
          <w:p>
            <w:pPr>
              <w:pStyle w:val="Compact"/>
            </w:pPr>
          </w:p>
        </w:tc>
      </w:tr>
      <w:tr>
        <w:tc>
          <w:tcPr>
            <w:gridSpan w:val="5"/>
          </w:tcPr>
          <w:p>
            <w:pPr>
              <w:pStyle w:val="Compact"/>
              <w:jc w:val="right"/>
            </w:pPr>
            <w:r>
              <w:t xml:space="preserve">SST @ 6% (MYR)</w:t>
            </w:r>
          </w:p>
        </w:tc>
        <w:tc>
          <w:tcPr/>
          <w:p>
            <w:pPr>
              <w:pStyle w:val="Compact"/>
              <w:jc w:val="left"/>
            </w:pPr>
            <w:r>
              <w:t xml:space="preserve">8,952.00</w:t>
            </w:r>
          </w:p>
        </w:tc>
        <w:tc>
          <w:tcPr/>
          <w:p>
            <w:pPr>
              <w:pStyle w:val="Compact"/>
            </w:pPr>
          </w:p>
        </w:tc>
      </w:tr>
      <w:tr>
        <w:tc>
          <w:tcPr>
            <w:gridSpan w:val="5"/>
          </w:tcPr>
          <w:p>
            <w:pPr>
              <w:pStyle w:val="Compact"/>
              <w:jc w:val="right"/>
            </w:pPr>
            <w:r>
              <w:t xml:space="preserve">TOTAL AMOUNT DUE (MYR)</w:t>
            </w:r>
          </w:p>
        </w:tc>
        <w:tc>
          <w:tcPr/>
          <w:p>
            <w:pPr>
              <w:pStyle w:val="Compact"/>
              <w:jc w:val="left"/>
            </w:pPr>
            <w:r>
              <w:t xml:space="preserve">158,152.00</w:t>
            </w:r>
          </w:p>
        </w:tc>
        <w:tc>
          <w:tcPr/>
          <w:p>
            <w:pPr>
              <w:pStyle w:val="Compact"/>
            </w:pPr>
          </w:p>
        </w:tc>
      </w:tr>
    </w:tbl>
    <w:p>
      <w:pPr>
        <w:pStyle w:val="BodyText"/>
      </w:pPr>
      <w:r>
        <w:t xml:space="preserve">Terms &amp; Conditions of This Purchase Order</w:t>
      </w:r>
    </w:p>
    <w:bookmarkStart w:id="21" w:name="X06cfce17eb593cdb6d21ac9af91090e4b0f77ef"/>
    <w:p>
      <w:pPr>
        <w:pStyle w:val="Heading3"/>
      </w:pPr>
      <w:r>
        <w:t xml:space="preserve">General Terms Governing This Purchase Order</w:t>
      </w:r>
    </w:p>
    <w:p>
      <w:pPr>
        <w:numPr>
          <w:ilvl w:val="0"/>
          <w:numId w:val="1001"/>
        </w:numPr>
        <w:pStyle w:val="Compact"/>
      </w:pPr>
      <w:r>
        <w:rPr>
          <w:bCs/>
          <w:b/>
        </w:rPr>
        <w:t xml:space="preserve">Acceptance:</w:t>
      </w:r>
      <w:r>
        <w:t xml:space="preserve"> </w:t>
      </w:r>
      <w:r>
        <w:t xml:space="preserve">This Purchase Order is issued by MediSight Healthcare Group Sdn. Bhd. (hereinafter "the Buyer") to Dr. Aisyah binti Rahman, Ophthalmologist, operating under VisionCare Specialist Centre (hereinafter "the Supplier"). Acceptance of this Purchase Order constitutes full agreement to all terms stated herein.</w:t>
      </w:r>
    </w:p>
    <w:p>
      <w:pPr>
        <w:numPr>
          <w:ilvl w:val="0"/>
          <w:numId w:val="1001"/>
        </w:numPr>
        <w:pStyle w:val="Compact"/>
      </w:pPr>
      <w:r>
        <w:rPr>
          <w:bCs/>
          <w:b/>
        </w:rPr>
        <w:t xml:space="preserve">Scope of Services:</w:t>
      </w:r>
      <w:r>
        <w:t xml:space="preserve"> </w:t>
      </w:r>
      <w:r>
        <w:t xml:space="preserve">The Ophthalmologist shall provide all ophthalmic consultations, surgical procedures, diagnostic imaging, and follow-up care as itemised above. All clinical services shall be rendered in accordance with the Malaysian Medical Council (MMC) guidelines and the Malaysian Society of Ophthalmology (MSO) standards of practice.</w:t>
      </w:r>
    </w:p>
    <w:p>
      <w:pPr>
        <w:numPr>
          <w:ilvl w:val="0"/>
          <w:numId w:val="1001"/>
        </w:numPr>
        <w:pStyle w:val="Compact"/>
      </w:pPr>
      <w:r>
        <w:rPr>
          <w:bCs/>
          <w:b/>
        </w:rPr>
        <w:t xml:space="preserve">Delivery &amp; Performance Location:</w:t>
      </w:r>
      <w:r>
        <w:t xml:space="preserve"> </w:t>
      </w:r>
      <w:r>
        <w:t xml:space="preserve">All services and physical supplies referenced in this Purchase Order shall be delivered or performed at the Buyer's facility located in Kuala Lumpur, Malaysia, or at the Ophthalmologist's registered practice in Kuala Lumpur, Malaysia, as mutually agreed per line item.</w:t>
      </w:r>
    </w:p>
    <w:p>
      <w:pPr>
        <w:numPr>
          <w:ilvl w:val="0"/>
          <w:numId w:val="1001"/>
        </w:numPr>
        <w:pStyle w:val="Compact"/>
      </w:pPr>
      <w:r>
        <w:rPr>
          <w:bCs/>
          <w:b/>
        </w:rPr>
        <w:t xml:space="preserve">Payment Terms:</w:t>
      </w:r>
      <w:r>
        <w:t xml:space="preserve"> </w:t>
      </w:r>
      <w:r>
        <w:t xml:space="preserve">Payment shall be made within thirty (30) days from the date of invoice receipt. Payment shall be processed via bank transfer to the Supplier's designated account in Malaysian Ringgit (MYR). The Buyer reserves the right to withhold payment for any disputed line items pending resolution.</w:t>
      </w:r>
    </w:p>
    <w:p>
      <w:pPr>
        <w:numPr>
          <w:ilvl w:val="0"/>
          <w:numId w:val="1001"/>
        </w:numPr>
        <w:pStyle w:val="Compact"/>
      </w:pPr>
      <w:r>
        <w:rPr>
          <w:bCs/>
          <w:b/>
        </w:rPr>
        <w:t xml:space="preserve">Quality &amp; Compliance:</w:t>
      </w:r>
      <w:r>
        <w:t xml:space="preserve"> </w:t>
      </w:r>
      <w:r>
        <w:t xml:space="preserve">The Ophthalmologist warrants that all equipment, surgical kits, intraocular lenses, and pharmaceutical products supplied under this Purchase Order are genuine, unexpired, and compliant with the Malaysian National Pharmaceutical Regulatory Agency (NPRA) and the Ministry of Health Malaysia (MOH) regulations.</w:t>
      </w:r>
    </w:p>
    <w:p>
      <w:pPr>
        <w:numPr>
          <w:ilvl w:val="0"/>
          <w:numId w:val="1001"/>
        </w:numPr>
        <w:pStyle w:val="Compact"/>
      </w:pPr>
      <w:r>
        <w:rPr>
          <w:bCs/>
          <w:b/>
        </w:rPr>
        <w:t xml:space="preserve">Confidentiality:</w:t>
      </w:r>
      <w:r>
        <w:t xml:space="preserve"> </w:t>
      </w:r>
      <w:r>
        <w:t xml:space="preserve">Both parties agree to maintain strict confidentiality of all patient data, clinical records, and proprietary business information exchanged in connection with this Purchase Order, in compliance with the Personal Data Protection Act 2010 (PDPA) of Malaysia.</w:t>
      </w:r>
    </w:p>
    <w:p>
      <w:pPr>
        <w:numPr>
          <w:ilvl w:val="0"/>
          <w:numId w:val="1001"/>
        </w:numPr>
        <w:pStyle w:val="Compact"/>
      </w:pPr>
      <w:r>
        <w:rPr>
          <w:bCs/>
          <w:b/>
        </w:rPr>
        <w:t xml:space="preserve">Liability &amp; Insurance:</w:t>
      </w:r>
      <w:r>
        <w:t xml:space="preserve"> </w:t>
      </w:r>
      <w:r>
        <w:t xml:space="preserve">The Ophthalmologist shall maintain valid professional indemnity insurance with a minimum coverage of MYR 2,000,000 per claim, valid throughout the duration of this Purchase Order. The Buyer shall not be held liable for any adverse clinical outcomes arising from the Ophthalmologist's professional judgment.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be liable only for services already rendered and supplies already delivered as of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Malaysia. Any disputes shall be resolved through the courts of Kuala Lumpur, Malaysia, or by arbitration under the rules of the Asian International Arbitration Centre (AIAC) in Kuala Lumpur.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lockdowns in Kuala Lumpur, or pandemics declared by the Malaysian government.</w:t>
      </w:r>
    </w:p>
    <w:bookmarkEnd w:id="21"/>
    <w:p>
      <w:pPr>
        <w:pStyle w:val="FirstParagraph"/>
      </w:pPr>
      <w:r>
        <w:rPr>
          <w:bCs/>
          <w:b/>
        </w:rPr>
        <w:t xml:space="preserve">Note:</w:t>
      </w:r>
      <w:r>
        <w:t xml:space="preserve"> </w:t>
      </w:r>
      <w:r>
        <w:t xml:space="preserve">This Purchase Order is valid for a period of thirty (30) days from the date of issue. The Ophthalmologist is required to confirm acceptance in writing within five (5) business days. All quantities and prices are subject to the final clinical assessment by the Ophthalmologist at the Kuala Lumpur facility. Any amendments to this Purchase Order must be made in writing and signed by both parties.</w:t>
      </w:r>
    </w:p>
    <w:p>
      <w:pPr>
        <w:pStyle w:val="BodyText"/>
      </w:pPr>
      <w:r>
        <w:rPr>
          <w:bCs/>
          <w:b/>
        </w:rPr>
        <w:t xml:space="preserve">For and on behalf of the Buyer:</w:t>
      </w:r>
    </w:p>
    <w:p>
      <w:pPr>
        <w:pStyle w:val="BodyText"/>
      </w:pPr>
      <w:r>
        <w:t xml:space="preserve">MediSight Healthcare Group Sdn. Bhd.</w:t>
      </w:r>
    </w:p>
    <w:p>
      <w:pPr>
        <w:pStyle w:val="BodyText"/>
      </w:pPr>
      <w:r>
        <w:t xml:space="preserve">Name:</w:t>
      </w:r>
      <w:r>
        <w:t xml:space="preserve"> </w:t>
      </w:r>
      <w:r>
        <w:rPr>
          <w:bCs/>
          <w:b/>
        </w:rPr>
        <w:t xml:space="preserve">Puan Nurul Huda binti Ismail</w:t>
      </w:r>
      <w:r>
        <w:br/>
      </w:r>
      <w:r>
        <w:t xml:space="preserve">Designation: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 (Ophthalmologist):</w:t>
      </w:r>
    </w:p>
    <w:p>
      <w:pPr>
        <w:pStyle w:val="BodyText"/>
      </w:pPr>
      <w:r>
        <w:t xml:space="preserve">VisionCare Specialist Centre, Kuala Lumpur</w:t>
      </w:r>
    </w:p>
    <w:p>
      <w:pPr>
        <w:pStyle w:val="BodyText"/>
      </w:pPr>
      <w:r>
        <w:t xml:space="preserve">Name:</w:t>
      </w:r>
      <w:r>
        <w:t xml:space="preserve"> </w:t>
      </w:r>
      <w:r>
        <w:rPr>
          <w:bCs/>
          <w:b/>
        </w:rPr>
        <w:t xml:space="preserve">Dr. Aisyah binti Rahman, Ophthalmologist</w:t>
      </w:r>
      <w:r>
        <w:br/>
      </w:r>
      <w:r>
        <w:t xml:space="preserve">Designation: Lead Ophthalmologist / Principal</w:t>
      </w:r>
      <w:r>
        <w:br/>
      </w:r>
      <w:r>
        <w:t xml:space="preserve">Signature: _________________________</w:t>
      </w:r>
      <w:r>
        <w:br/>
      </w:r>
      <w:r>
        <w:t xml:space="preserve">Date: _________________________</w:t>
      </w:r>
    </w:p>
    <w:p>
      <w:pPr>
        <w:pStyle w:val="BodyText"/>
      </w:pPr>
      <w:r>
        <w:t xml:space="preserve">This Purchase Order (PO-2025-07842) is an official document of MediSight Healthcare Group Sdn. Bhd., Kuala Lumpur, Malaysia.</w:t>
      </w:r>
    </w:p>
    <w:p>
      <w:pPr>
        <w:pStyle w:val="BodyText"/>
      </w:pPr>
      <w:r>
        <w:t xml:space="preserve">For queries regarding this Purchase Order, contact the Procurement Department at procurement@medisightkl.com.my or +603-2145 6789.</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Malaysia Kuala Lumpur</dc:title>
  <dc:creator/>
  <dc:language>en</dc:language>
  <cp:keywords/>
  <dcterms:created xsi:type="dcterms:W3CDTF">2026-10-10T04:49:28Z</dcterms:created>
  <dcterms:modified xsi:type="dcterms:W3CDTF">2026-10-10T04:49:28Z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