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Ophthalmologist</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purchase-order"/>
    <w:p>
      <w:pPr>
        <w:pStyle w:val="Heading1"/>
      </w:pPr>
      <w:r>
        <w:t xml:space="preserve">PURCHASE ORDER</w:t>
      </w:r>
    </w:p>
    <w:p>
      <w:pPr>
        <w:pStyle w:val="FirstParagraph"/>
      </w:pPr>
      <w:r>
        <w:rPr>
          <w:bCs/>
          <w:b/>
        </w:rPr>
        <w:t xml:space="preserve">Golden Lotus Medical Procurement Co., Ltd.</w:t>
      </w:r>
    </w:p>
    <w:p>
      <w:pPr>
        <w:pStyle w:val="BodyText"/>
      </w:pPr>
      <w:r>
        <w:t xml:space="preserve">255 Strand Road, Sanchaung Township,</w:t>
      </w:r>
      <w:r>
        <w:t xml:space="preserve"> </w:t>
      </w:r>
      <w:r>
        <w:t xml:space="preserve">Myanmar Yangon</w:t>
      </w:r>
      <w:r>
        <w:t xml:space="preserve">, 11151</w:t>
      </w:r>
    </w:p>
    <w:p>
      <w:pPr>
        <w:pStyle w:val="BodyText"/>
      </w:pPr>
      <w:r>
        <w:t xml:space="preserve">Tel: +95-1-234-5678 | Email: procurement@goldenlotusmm.com</w:t>
      </w:r>
    </w:p>
    <w:p>
      <w:pPr>
        <w:pStyle w:val="BodyText"/>
      </w:pPr>
      <w:r>
        <w:t xml:space="preserve">Company Registration No: 2019/YY/04521 | Tax ID: 3-12-456789</w:t>
      </w:r>
    </w:p>
    <w:bookmarkEnd w:id="20"/>
    <w:p>
      <w:pPr>
        <w:pStyle w:val="BodyText"/>
      </w:pPr>
      <w:r>
        <w:rPr>
          <w:bCs/>
          <w:b/>
        </w:rPr>
        <w:t xml:space="preserve">Purchase Order No:</w:t>
      </w:r>
      <w:r>
        <w:t xml:space="preserve"> </w:t>
      </w:r>
      <w:r>
        <w:t xml:space="preserve">PO-2025-YGN-00847</w:t>
      </w:r>
    </w:p>
    <w:p>
      <w:pPr>
        <w:pStyle w:val="BodyText"/>
      </w:pPr>
      <w:r>
        <w:rPr>
          <w:bCs/>
          <w:b/>
        </w:rPr>
        <w:t xml:space="preserve">Date of Issue:</w:t>
      </w:r>
      <w:r>
        <w:t xml:space="preserve"> </w:t>
      </w:r>
      <w:r>
        <w:t xml:space="preserve">15 June 2025</w:t>
      </w:r>
    </w:p>
    <w:p>
      <w:pPr>
        <w:pStyle w:val="BodyText"/>
      </w:pPr>
      <w:r>
        <w:rPr>
          <w:bCs/>
          <w:b/>
        </w:rPr>
        <w:t xml:space="preserve">Delivery Deadline:</w:t>
      </w:r>
      <w:r>
        <w:t xml:space="preserve"> </w:t>
      </w:r>
      <w:r>
        <w:t xml:space="preserve">30 June 2025</w:t>
      </w:r>
    </w:p>
    <w:p>
      <w:pPr>
        <w:pStyle w:val="BodyText"/>
      </w:pPr>
      <w:r>
        <w:rPr>
          <w:bCs/>
          <w:b/>
        </w:rPr>
        <w:t xml:space="preserve">Supplier / Recipient:</w:t>
      </w:r>
    </w:p>
    <w:p>
      <w:pPr>
        <w:pStyle w:val="BodyText"/>
      </w:pPr>
      <w:r>
        <w:rPr>
          <w:bCs/>
          <w:b/>
        </w:rPr>
        <w:t xml:space="preserve">Dr. Aung Kyaw Min, Ophthalmologist</w:t>
      </w:r>
    </w:p>
    <w:p>
      <w:pPr>
        <w:pStyle w:val="BodyText"/>
      </w:pPr>
      <w:r>
        <w:t xml:space="preserve">Yangon Vision &amp; Eye Care Centre</w:t>
      </w:r>
    </w:p>
    <w:p>
      <w:pPr>
        <w:pStyle w:val="BodyText"/>
      </w:pPr>
      <w:r>
        <w:t xml:space="preserve">88 Anawrahta Road, Insein Township</w:t>
      </w:r>
    </w:p>
    <w:p>
      <w:pPr>
        <w:pStyle w:val="BodyText"/>
      </w:pPr>
      <w:r>
        <w:t xml:space="preserve">Myanmar Yangon</w:t>
      </w:r>
      <w:r>
        <w:t xml:space="preserve">, 11151</w:t>
      </w:r>
    </w:p>
    <w:p>
      <w:pPr>
        <w:pStyle w:val="BodyText"/>
      </w:pPr>
      <w:r>
        <w:t xml:space="preserve">Tel: +95-9-771-234-567</w:t>
      </w:r>
    </w:p>
    <w:p>
      <w:pPr>
        <w:pStyle w:val="BodyText"/>
      </w:pPr>
      <w:r>
        <w:t xml:space="preserve">PURCHASE ORDER DETAILS – Ophthalmologist Equipment &amp; Supplies</w:t>
      </w:r>
    </w:p>
    <w:p>
      <w:pPr>
        <w:pStyle w:val="BodyText"/>
      </w:pPr>
      <w:r>
        <w:t xml:space="preserve">This</w:t>
      </w:r>
      <w:r>
        <w:t xml:space="preserve"> </w:t>
      </w:r>
      <w:r>
        <w:t xml:space="preserve">Purchase Order</w:t>
      </w:r>
      <w:r>
        <w:t xml:space="preserve"> </w:t>
      </w:r>
      <w:r>
        <w:t xml:space="preserve">is issued by Golden Lotus Medical Procurement Co., Ltd. for the acquisition of specialized ophthalmic equipment, diagnostic instruments, and consumable medical supplies required by the</w:t>
      </w:r>
      <w:r>
        <w:t xml:space="preserve"> </w:t>
      </w:r>
      <w:r>
        <w:t xml:space="preserve">Ophthalmologist</w:t>
      </w:r>
      <w:r>
        <w:t xml:space="preserve"> </w:t>
      </w:r>
      <w:r>
        <w:t xml:space="preserve">at Yangon Vision &amp; Eye Care Centre, located in</w:t>
      </w:r>
      <w:r>
        <w:t xml:space="preserve"> </w:t>
      </w:r>
      <w:r>
        <w:t xml:space="preserve">Myanmar Yangon</w:t>
      </w:r>
      <w:r>
        <w:t xml:space="preserve">. The items listed below have been selected to support comprehensive eye examination, surgical procedures, and ongoing patient care delivered by the</w:t>
      </w:r>
      <w:r>
        <w:t xml:space="preserve"> </w:t>
      </w:r>
      <w:r>
        <w:t xml:space="preserve">Ophthalmologist</w:t>
      </w:r>
      <w:r>
        <w:t xml:space="preserve"> </w:t>
      </w:r>
      <w:r>
        <w:t xml:space="preserve">and the associated clinical team.</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Item Description</w:t>
            </w:r>
          </w:p>
        </w:tc>
        <w:tc>
          <w:tcPr/>
          <w:p>
            <w:pPr>
              <w:pStyle w:val="Compact"/>
              <w:jc w:val="left"/>
            </w:pPr>
            <w:r>
              <w:t xml:space="preserve">Specification / Model</w:t>
            </w:r>
          </w:p>
        </w:tc>
        <w:tc>
          <w:tcPr/>
          <w:p>
            <w:pPr>
              <w:pStyle w:val="Compact"/>
              <w:jc w:val="left"/>
            </w:pPr>
            <w:r>
              <w:t xml:space="preserve">Qty</w:t>
            </w:r>
          </w:p>
        </w:tc>
        <w:tc>
          <w:tcPr/>
          <w:p>
            <w:pPr>
              <w:pStyle w:val="Compact"/>
              <w:jc w:val="left"/>
            </w:pPr>
            <w:r>
              <w:t xml:space="preserve">Unit Price (MMK)</w:t>
            </w:r>
          </w:p>
        </w:tc>
        <w:tc>
          <w:tcPr/>
          <w:p>
            <w:pPr>
              <w:pStyle w:val="Compact"/>
              <w:jc w:val="left"/>
            </w:pPr>
            <w:r>
              <w:t xml:space="preserve">Total (MMK)</w:t>
            </w:r>
          </w:p>
        </w:tc>
      </w:tr>
      <w:tr>
        <w:tc>
          <w:tcPr/>
          <w:p>
            <w:pPr>
              <w:pStyle w:val="Compact"/>
              <w:jc w:val="left"/>
            </w:pPr>
            <w:r>
              <w:t xml:space="preserve">1</w:t>
            </w:r>
          </w:p>
        </w:tc>
        <w:tc>
          <w:tcPr/>
          <w:p>
            <w:pPr>
              <w:pStyle w:val="Compact"/>
              <w:jc w:val="left"/>
            </w:pPr>
            <w:r>
              <w:t xml:space="preserve">Slit Lamp Biomicroscope with Fundus Camera</w:t>
            </w:r>
          </w:p>
        </w:tc>
        <w:tc>
          <w:tcPr/>
          <w:p>
            <w:pPr>
              <w:pStyle w:val="Compact"/>
              <w:jc w:val="left"/>
            </w:pPr>
            <w:r>
              <w:t xml:space="preserve">Topcon SL-18D</w:t>
            </w:r>
          </w:p>
        </w:tc>
        <w:tc>
          <w:tcPr/>
          <w:p>
            <w:pPr>
              <w:pStyle w:val="Compact"/>
              <w:jc w:val="left"/>
            </w:pPr>
            <w:r>
              <w:t xml:space="preserve">2</w:t>
            </w:r>
          </w:p>
        </w:tc>
        <w:tc>
          <w:tcPr/>
          <w:p>
            <w:pPr>
              <w:pStyle w:val="Compact"/>
              <w:jc w:val="left"/>
            </w:pPr>
            <w:r>
              <w:t xml:space="preserve">4,500,000</w:t>
            </w:r>
          </w:p>
        </w:tc>
        <w:tc>
          <w:tcPr/>
          <w:p>
            <w:pPr>
              <w:pStyle w:val="Compact"/>
              <w:jc w:val="left"/>
            </w:pPr>
            <w:r>
              <w:t xml:space="preserve">9,000,000</w:t>
            </w:r>
          </w:p>
        </w:tc>
      </w:tr>
      <w:tr>
        <w:tc>
          <w:tcPr/>
          <w:p>
            <w:pPr>
              <w:pStyle w:val="Compact"/>
              <w:jc w:val="left"/>
            </w:pPr>
            <w:r>
              <w:t xml:space="preserve">2</w:t>
            </w:r>
          </w:p>
        </w:tc>
        <w:tc>
          <w:tcPr/>
          <w:p>
            <w:pPr>
              <w:pStyle w:val="Compact"/>
              <w:jc w:val="left"/>
            </w:pPr>
            <w:r>
              <w:t xml:space="preserve">Phacoemulsification Machine with IOL Injector</w:t>
            </w:r>
          </w:p>
        </w:tc>
        <w:tc>
          <w:tcPr/>
          <w:p>
            <w:pPr>
              <w:pStyle w:val="Compact"/>
              <w:jc w:val="left"/>
            </w:pPr>
            <w:r>
              <w:t xml:space="preserve">Alcon Infiniti LS</w:t>
            </w:r>
          </w:p>
        </w:tc>
        <w:tc>
          <w:tcPr/>
          <w:p>
            <w:pPr>
              <w:pStyle w:val="Compact"/>
              <w:jc w:val="left"/>
            </w:pPr>
            <w:r>
              <w:t xml:space="preserve">1</w:t>
            </w:r>
          </w:p>
        </w:tc>
        <w:tc>
          <w:tcPr/>
          <w:p>
            <w:pPr>
              <w:pStyle w:val="Compact"/>
              <w:jc w:val="left"/>
            </w:pPr>
            <w:r>
              <w:t xml:space="preserve">38,000,000</w:t>
            </w:r>
          </w:p>
        </w:tc>
        <w:tc>
          <w:tcPr/>
          <w:p>
            <w:pPr>
              <w:pStyle w:val="Compact"/>
              <w:jc w:val="left"/>
            </w:pPr>
            <w:r>
              <w:t xml:space="preserve">38,000,000</w:t>
            </w:r>
          </w:p>
        </w:tc>
      </w:tr>
      <w:tr>
        <w:tc>
          <w:tcPr/>
          <w:p>
            <w:pPr>
              <w:pStyle w:val="Compact"/>
              <w:jc w:val="left"/>
            </w:pPr>
            <w:r>
              <w:t xml:space="preserve">3</w:t>
            </w:r>
          </w:p>
        </w:tc>
        <w:tc>
          <w:tcPr/>
          <w:p>
            <w:pPr>
              <w:pStyle w:val="Compact"/>
              <w:jc w:val="left"/>
            </w:pPr>
            <w:r>
              <w:t xml:space="preserve">Optical Coherence Tomography (OCT) Scanner</w:t>
            </w:r>
          </w:p>
        </w:tc>
        <w:tc>
          <w:tcPr/>
          <w:p>
            <w:pPr>
              <w:pStyle w:val="Compact"/>
              <w:jc w:val="left"/>
            </w:pPr>
            <w:r>
              <w:t xml:space="preserve">Zeiss Cirrus HD-OCT</w:t>
            </w:r>
          </w:p>
        </w:tc>
        <w:tc>
          <w:tcPr/>
          <w:p>
            <w:pPr>
              <w:pStyle w:val="Compact"/>
              <w:jc w:val="left"/>
            </w:pPr>
            <w:r>
              <w:t xml:space="preserve">1</w:t>
            </w:r>
          </w:p>
        </w:tc>
        <w:tc>
          <w:tcPr/>
          <w:p>
            <w:pPr>
              <w:pStyle w:val="Compact"/>
              <w:jc w:val="left"/>
            </w:pPr>
            <w:r>
              <w:t xml:space="preserve">52,000,000</w:t>
            </w:r>
          </w:p>
        </w:tc>
        <w:tc>
          <w:tcPr/>
          <w:p>
            <w:pPr>
              <w:pStyle w:val="Compact"/>
              <w:jc w:val="left"/>
            </w:pPr>
            <w:r>
              <w:t xml:space="preserve">52,000,000</w:t>
            </w:r>
          </w:p>
        </w:tc>
      </w:tr>
      <w:tr>
        <w:tc>
          <w:tcPr/>
          <w:p>
            <w:pPr>
              <w:pStyle w:val="Compact"/>
              <w:jc w:val="left"/>
            </w:pPr>
            <w:r>
              <w:t xml:space="preserve">4</w:t>
            </w:r>
          </w:p>
        </w:tc>
        <w:tc>
          <w:tcPr/>
          <w:p>
            <w:pPr>
              <w:pStyle w:val="Compact"/>
              <w:jc w:val="left"/>
            </w:pPr>
            <w:r>
              <w:t xml:space="preserve">Automated Refractor / Keratometer</w:t>
            </w:r>
          </w:p>
        </w:tc>
        <w:tc>
          <w:tcPr/>
          <w:p>
            <w:pPr>
              <w:pStyle w:val="Compact"/>
              <w:jc w:val="left"/>
            </w:pPr>
            <w:r>
              <w:t xml:space="preserve">Nidek ARK-530A</w:t>
            </w:r>
          </w:p>
        </w:tc>
        <w:tc>
          <w:tcPr/>
          <w:p>
            <w:pPr>
              <w:pStyle w:val="Compact"/>
              <w:jc w:val="left"/>
            </w:pPr>
            <w:r>
              <w:t xml:space="preserve">2</w:t>
            </w:r>
          </w:p>
        </w:tc>
        <w:tc>
          <w:tcPr/>
          <w:p>
            <w:pPr>
              <w:pStyle w:val="Compact"/>
              <w:jc w:val="left"/>
            </w:pPr>
            <w:r>
              <w:t xml:space="preserve">3,200,000</w:t>
            </w:r>
          </w:p>
        </w:tc>
        <w:tc>
          <w:tcPr/>
          <w:p>
            <w:pPr>
              <w:pStyle w:val="Compact"/>
              <w:jc w:val="left"/>
            </w:pPr>
            <w:r>
              <w:t xml:space="preserve">6,400,000</w:t>
            </w:r>
          </w:p>
        </w:tc>
      </w:tr>
      <w:tr>
        <w:tc>
          <w:tcPr/>
          <w:p>
            <w:pPr>
              <w:pStyle w:val="Compact"/>
              <w:jc w:val="left"/>
            </w:pPr>
            <w:r>
              <w:t xml:space="preserve">5</w:t>
            </w:r>
          </w:p>
        </w:tc>
        <w:tc>
          <w:tcPr/>
          <w:p>
            <w:pPr>
              <w:pStyle w:val="Compact"/>
              <w:jc w:val="left"/>
            </w:pPr>
            <w:r>
              <w:t xml:space="preserve">Direct and Indirect Ophthalmoscopes (set)</w:t>
            </w:r>
          </w:p>
        </w:tc>
        <w:tc>
          <w:tcPr/>
          <w:p>
            <w:pPr>
              <w:pStyle w:val="Compact"/>
              <w:jc w:val="left"/>
            </w:pPr>
            <w:r>
              <w:t xml:space="preserve">Heine Omega 200</w:t>
            </w:r>
          </w:p>
        </w:tc>
        <w:tc>
          <w:tcPr/>
          <w:p>
            <w:pPr>
              <w:pStyle w:val="Compact"/>
              <w:jc w:val="left"/>
            </w:pPr>
            <w:r>
              <w:t xml:space="preserve">5</w:t>
            </w:r>
          </w:p>
        </w:tc>
        <w:tc>
          <w:tcPr/>
          <w:p>
            <w:pPr>
              <w:pStyle w:val="Compact"/>
              <w:jc w:val="left"/>
            </w:pPr>
            <w:r>
              <w:t xml:space="preserve">850,000</w:t>
            </w:r>
          </w:p>
        </w:tc>
        <w:tc>
          <w:tcPr/>
          <w:p>
            <w:pPr>
              <w:pStyle w:val="Compact"/>
              <w:jc w:val="left"/>
            </w:pPr>
            <w:r>
              <w:t xml:space="preserve">4,250,000</w:t>
            </w:r>
          </w:p>
        </w:tc>
      </w:tr>
      <w:tr>
        <w:tc>
          <w:tcPr/>
          <w:p>
            <w:pPr>
              <w:pStyle w:val="Compact"/>
              <w:jc w:val="left"/>
            </w:pPr>
            <w:r>
              <w:t xml:space="preserve">6</w:t>
            </w:r>
          </w:p>
        </w:tc>
        <w:tc>
          <w:tcPr/>
          <w:p>
            <w:pPr>
              <w:pStyle w:val="Compact"/>
              <w:jc w:val="left"/>
            </w:pPr>
            <w:r>
              <w:t xml:space="preserve">Intraocular Lens (IOL) – Monofocal, 20.0D</w:t>
            </w:r>
          </w:p>
        </w:tc>
        <w:tc>
          <w:tcPr/>
          <w:p>
            <w:pPr>
              <w:pStyle w:val="Compact"/>
              <w:jc w:val="left"/>
            </w:pPr>
            <w:r>
              <w:t xml:space="preserve">Alcon SN60WF</w:t>
            </w:r>
          </w:p>
        </w:tc>
        <w:tc>
          <w:tcPr/>
          <w:p>
            <w:pPr>
              <w:pStyle w:val="Compact"/>
              <w:jc w:val="left"/>
            </w:pPr>
            <w:r>
              <w:t xml:space="preserve">200</w:t>
            </w:r>
          </w:p>
        </w:tc>
        <w:tc>
          <w:tcPr/>
          <w:p>
            <w:pPr>
              <w:pStyle w:val="Compact"/>
              <w:jc w:val="left"/>
            </w:pPr>
            <w:r>
              <w:t xml:space="preserve">1,200,000</w:t>
            </w:r>
          </w:p>
        </w:tc>
        <w:tc>
          <w:tcPr/>
          <w:p>
            <w:pPr>
              <w:pStyle w:val="Compact"/>
              <w:jc w:val="left"/>
            </w:pPr>
            <w:r>
              <w:t xml:space="preserve">240,000,000</w:t>
            </w:r>
          </w:p>
        </w:tc>
      </w:tr>
      <w:tr>
        <w:tc>
          <w:tcPr/>
          <w:p>
            <w:pPr>
              <w:pStyle w:val="Compact"/>
              <w:jc w:val="left"/>
            </w:pPr>
            <w:r>
              <w:t xml:space="preserve">7</w:t>
            </w:r>
          </w:p>
        </w:tc>
        <w:tc>
          <w:tcPr/>
          <w:p>
            <w:pPr>
              <w:pStyle w:val="Compact"/>
              <w:jc w:val="left"/>
            </w:pPr>
            <w:r>
              <w:t xml:space="preserve">Viscoelastic Agent (OVD) – 10ml syringes</w:t>
            </w:r>
          </w:p>
        </w:tc>
        <w:tc>
          <w:tcPr/>
          <w:p>
            <w:pPr>
              <w:pStyle w:val="Compact"/>
              <w:jc w:val="left"/>
            </w:pPr>
            <w:r>
              <w:t xml:space="preserve">Alcon Viscoat</w:t>
            </w:r>
          </w:p>
        </w:tc>
        <w:tc>
          <w:tcPr/>
          <w:p>
            <w:pPr>
              <w:pStyle w:val="Compact"/>
              <w:jc w:val="left"/>
            </w:pPr>
            <w:r>
              <w:t xml:space="preserve">100</w:t>
            </w:r>
          </w:p>
        </w:tc>
        <w:tc>
          <w:tcPr/>
          <w:p>
            <w:pPr>
              <w:pStyle w:val="Compact"/>
              <w:jc w:val="left"/>
            </w:pPr>
            <w:r>
              <w:t xml:space="preserve">450,000</w:t>
            </w:r>
          </w:p>
        </w:tc>
        <w:tc>
          <w:tcPr/>
          <w:p>
            <w:pPr>
              <w:pStyle w:val="Compact"/>
              <w:jc w:val="left"/>
            </w:pPr>
            <w:r>
              <w:t xml:space="preserve">45,000,000</w:t>
            </w:r>
          </w:p>
        </w:tc>
      </w:tr>
      <w:tr>
        <w:tc>
          <w:tcPr/>
          <w:p>
            <w:pPr>
              <w:pStyle w:val="Compact"/>
              <w:jc w:val="left"/>
            </w:pPr>
            <w:r>
              <w:t xml:space="preserve">8</w:t>
            </w:r>
          </w:p>
        </w:tc>
        <w:tc>
          <w:tcPr/>
          <w:p>
            <w:pPr>
              <w:pStyle w:val="Compact"/>
              <w:jc w:val="left"/>
            </w:pPr>
            <w:r>
              <w:t xml:space="preserve">Surgical Microscope for Ophthalmologist use</w:t>
            </w:r>
          </w:p>
        </w:tc>
        <w:tc>
          <w:tcPr/>
          <w:p>
            <w:pPr>
              <w:pStyle w:val="Compact"/>
              <w:jc w:val="left"/>
            </w:pPr>
            <w:r>
              <w:t xml:space="preserve">Leica M800</w:t>
            </w:r>
          </w:p>
        </w:tc>
        <w:tc>
          <w:tcPr/>
          <w:p>
            <w:pPr>
              <w:pStyle w:val="Compact"/>
              <w:jc w:val="left"/>
            </w:pPr>
            <w:r>
              <w:t xml:space="preserve">1</w:t>
            </w:r>
          </w:p>
        </w:tc>
        <w:tc>
          <w:tcPr/>
          <w:p>
            <w:pPr>
              <w:pStyle w:val="Compact"/>
              <w:jc w:val="left"/>
            </w:pPr>
            <w:r>
              <w:t xml:space="preserve">65,000,000</w:t>
            </w:r>
          </w:p>
        </w:tc>
        <w:tc>
          <w:tcPr/>
          <w:p>
            <w:pPr>
              <w:pStyle w:val="Compact"/>
              <w:jc w:val="left"/>
            </w:pPr>
            <w:r>
              <w:t xml:space="preserve">65,000,000</w:t>
            </w:r>
          </w:p>
        </w:tc>
      </w:tr>
      <w:tr>
        <w:tc>
          <w:tcPr/>
          <w:p>
            <w:pPr>
              <w:pStyle w:val="Compact"/>
              <w:jc w:val="left"/>
            </w:pPr>
            <w:r>
              <w:t xml:space="preserve">9</w:t>
            </w:r>
          </w:p>
        </w:tc>
        <w:tc>
          <w:tcPr/>
          <w:p>
            <w:pPr>
              <w:pStyle w:val="Compact"/>
              <w:jc w:val="left"/>
            </w:pPr>
            <w:r>
              <w:t xml:space="preserve">Perimetry / Visual Field Analyzer</w:t>
            </w:r>
          </w:p>
        </w:tc>
        <w:tc>
          <w:tcPr/>
          <w:p>
            <w:pPr>
              <w:pStyle w:val="Compact"/>
              <w:jc w:val="left"/>
            </w:pPr>
            <w:r>
              <w:t xml:space="preserve">Zeiss Humphrey 300</w:t>
            </w:r>
          </w:p>
        </w:tc>
        <w:tc>
          <w:tcPr/>
          <w:p>
            <w:pPr>
              <w:pStyle w:val="Compact"/>
              <w:jc w:val="left"/>
            </w:pPr>
            <w:r>
              <w:t xml:space="preserve">1</w:t>
            </w:r>
          </w:p>
        </w:tc>
        <w:tc>
          <w:tcPr/>
          <w:p>
            <w:pPr>
              <w:pStyle w:val="Compact"/>
              <w:jc w:val="left"/>
            </w:pPr>
            <w:r>
              <w:t xml:space="preserve">48,000,000</w:t>
            </w:r>
          </w:p>
        </w:tc>
        <w:tc>
          <w:tcPr/>
          <w:p>
            <w:pPr>
              <w:pStyle w:val="Compact"/>
              <w:jc w:val="left"/>
            </w:pPr>
            <w:r>
              <w:t xml:space="preserve">48,000,000</w:t>
            </w:r>
          </w:p>
        </w:tc>
      </w:tr>
      <w:tr>
        <w:tc>
          <w:tcPr/>
          <w:p>
            <w:pPr>
              <w:pStyle w:val="Compact"/>
              <w:jc w:val="left"/>
            </w:pPr>
            <w:r>
              <w:t xml:space="preserve">10</w:t>
            </w:r>
          </w:p>
        </w:tc>
        <w:tc>
          <w:tcPr/>
          <w:p>
            <w:pPr>
              <w:pStyle w:val="Compact"/>
              <w:jc w:val="left"/>
            </w:pPr>
            <w:r>
              <w:t xml:space="preserve">Antibiotic Eye Drops – Moxifloxacin 0.5% (10ml)</w:t>
            </w:r>
          </w:p>
        </w:tc>
        <w:tc>
          <w:tcPr/>
          <w:p>
            <w:pPr>
              <w:pStyle w:val="Compact"/>
              <w:jc w:val="left"/>
            </w:pPr>
            <w:r>
              <w:t xml:space="preserve">Vigamox</w:t>
            </w:r>
          </w:p>
        </w:tc>
        <w:tc>
          <w:tcPr/>
          <w:p>
            <w:pPr>
              <w:pStyle w:val="Compact"/>
              <w:jc w:val="left"/>
            </w:pPr>
            <w:r>
              <w:t xml:space="preserve">500</w:t>
            </w:r>
          </w:p>
        </w:tc>
        <w:tc>
          <w:tcPr/>
          <w:p>
            <w:pPr>
              <w:pStyle w:val="Compact"/>
              <w:jc w:val="left"/>
            </w:pPr>
            <w:r>
              <w:t xml:space="preserve">180,000</w:t>
            </w:r>
          </w:p>
        </w:tc>
        <w:tc>
          <w:tcPr/>
          <w:p>
            <w:pPr>
              <w:pStyle w:val="Compact"/>
              <w:jc w:val="left"/>
            </w:pPr>
            <w:r>
              <w:t xml:space="preserve">90,000,000</w:t>
            </w:r>
          </w:p>
        </w:tc>
      </w:tr>
      <w:tr>
        <w:tc>
          <w:tcPr/>
          <w:p>
            <w:pPr>
              <w:pStyle w:val="Compact"/>
              <w:jc w:val="left"/>
            </w:pPr>
            <w:r>
              <w:t xml:space="preserve">11</w:t>
            </w:r>
          </w:p>
        </w:tc>
        <w:tc>
          <w:tcPr/>
          <w:p>
            <w:pPr>
              <w:pStyle w:val="Compact"/>
              <w:jc w:val="left"/>
            </w:pPr>
            <w:r>
              <w:t xml:space="preserve">Artificial Tears – Preservative-Free (30ml)</w:t>
            </w:r>
          </w:p>
        </w:tc>
        <w:tc>
          <w:tcPr/>
          <w:p>
            <w:pPr>
              <w:pStyle w:val="Compact"/>
              <w:jc w:val="left"/>
            </w:pPr>
            <w:r>
              <w:t xml:space="preserve">Systane Ultra</w:t>
            </w:r>
          </w:p>
        </w:tc>
        <w:tc>
          <w:tcPr/>
          <w:p>
            <w:pPr>
              <w:pStyle w:val="Compact"/>
              <w:jc w:val="left"/>
            </w:pPr>
            <w:r>
              <w:t xml:space="preserve">1,000</w:t>
            </w:r>
          </w:p>
        </w:tc>
        <w:tc>
          <w:tcPr/>
          <w:p>
            <w:pPr>
              <w:pStyle w:val="Compact"/>
              <w:jc w:val="left"/>
            </w:pPr>
            <w:r>
              <w:t xml:space="preserve">95,000</w:t>
            </w:r>
          </w:p>
        </w:tc>
        <w:tc>
          <w:tcPr/>
          <w:p>
            <w:pPr>
              <w:pStyle w:val="Compact"/>
              <w:jc w:val="left"/>
            </w:pPr>
            <w:r>
              <w:t xml:space="preserve">95,000,000</w:t>
            </w:r>
          </w:p>
        </w:tc>
      </w:tr>
      <w:tr>
        <w:tc>
          <w:tcPr/>
          <w:p>
            <w:pPr>
              <w:pStyle w:val="Compact"/>
              <w:jc w:val="left"/>
            </w:pPr>
            <w:r>
              <w:t xml:space="preserve">12</w:t>
            </w:r>
          </w:p>
        </w:tc>
        <w:tc>
          <w:tcPr/>
          <w:p>
            <w:pPr>
              <w:pStyle w:val="Compact"/>
              <w:jc w:val="left"/>
            </w:pPr>
            <w:r>
              <w:t xml:space="preserve">Surgical Sutures – 10-0 Nylon (pack of 10)</w:t>
            </w:r>
          </w:p>
        </w:tc>
        <w:tc>
          <w:tcPr/>
          <w:p>
            <w:pPr>
              <w:pStyle w:val="Compact"/>
              <w:jc w:val="left"/>
            </w:pPr>
            <w:r>
              <w:t xml:space="preserve">Alcon</w:t>
            </w:r>
          </w:p>
        </w:tc>
        <w:tc>
          <w:tcPr/>
          <w:p>
            <w:pPr>
              <w:pStyle w:val="Compact"/>
              <w:jc w:val="left"/>
            </w:pPr>
            <w:r>
              <w:t xml:space="preserve">200</w:t>
            </w:r>
          </w:p>
        </w:tc>
        <w:tc>
          <w:tcPr/>
          <w:p>
            <w:pPr>
              <w:pStyle w:val="Compact"/>
              <w:jc w:val="left"/>
            </w:pPr>
            <w:r>
              <w:t xml:space="preserve">320,000</w:t>
            </w:r>
          </w:p>
        </w:tc>
        <w:tc>
          <w:tcPr/>
          <w:p>
            <w:pPr>
              <w:pStyle w:val="Compact"/>
              <w:jc w:val="left"/>
            </w:pPr>
            <w:r>
              <w:t xml:space="preserve">64,000,000</w:t>
            </w:r>
          </w:p>
        </w:tc>
      </w:tr>
      <w:tr>
        <w:tc>
          <w:tcPr>
            <w:gridSpan w:val="5"/>
          </w:tcPr>
          <w:p>
            <w:pPr>
              <w:pStyle w:val="Compact"/>
              <w:jc w:val="right"/>
            </w:pPr>
            <w:r>
              <w:t xml:space="preserve">GRAND TOTAL (MMK)</w:t>
            </w:r>
          </w:p>
        </w:tc>
        <w:tc>
          <w:tcPr/>
          <w:p>
            <w:pPr>
              <w:pStyle w:val="Compact"/>
              <w:jc w:val="left"/>
            </w:pPr>
            <w:r>
              <w:t xml:space="preserve">656,650,000</w:t>
            </w:r>
          </w:p>
        </w:tc>
      </w:tr>
    </w:tbl>
    <w:p>
      <w:pPr>
        <w:pStyle w:val="BodyText"/>
      </w:pPr>
      <w:r>
        <w:t xml:space="preserve">TERMS AND CONDITIONS</w:t>
      </w:r>
    </w:p>
    <w:p>
      <w:pPr>
        <w:numPr>
          <w:ilvl w:val="0"/>
          <w:numId w:val="1001"/>
        </w:numPr>
        <w:pStyle w:val="Compact"/>
      </w:pPr>
      <w:r>
        <w:rPr>
          <w:bCs/>
          <w:b/>
        </w:rPr>
        <w:t xml:space="preserve">1. Delivery:</w:t>
      </w:r>
      <w:r>
        <w:t xml:space="preserve"> </w:t>
      </w:r>
      <w:r>
        <w:t xml:space="preserve">All items specified in this</w:t>
      </w:r>
      <w:r>
        <w:t xml:space="preserve"> </w:t>
      </w:r>
      <w:r>
        <w:t xml:space="preserve">Purchase Order</w:t>
      </w:r>
      <w:r>
        <w:t xml:space="preserve"> </w:t>
      </w:r>
      <w:r>
        <w:t xml:space="preserve">shall be delivered to the</w:t>
      </w:r>
      <w:r>
        <w:t xml:space="preserve"> </w:t>
      </w:r>
      <w:r>
        <w:t xml:space="preserve">Ophthalmologist</w:t>
      </w:r>
      <w:r>
        <w:t xml:space="preserve">'s clinic premises at Yangon Vision &amp; Eye Care Centre, 88 Anawrahta Road, Insein Township,</w:t>
      </w:r>
      <w:r>
        <w:t xml:space="preserve"> </w:t>
      </w:r>
      <w:r>
        <w:t xml:space="preserve">Myanmar Yangon</w:t>
      </w:r>
      <w:r>
        <w:t xml:space="preserve">, no later than 30 June 2025. Delivery shall be made between 09:00 and 16:00 Myanmar Standard Time (MST, UTC+6:30).</w:t>
      </w:r>
    </w:p>
    <w:p>
      <w:pPr>
        <w:numPr>
          <w:ilvl w:val="0"/>
          <w:numId w:val="1001"/>
        </w:numPr>
        <w:pStyle w:val="Compact"/>
      </w:pPr>
      <w:r>
        <w:rPr>
          <w:bCs/>
          <w:b/>
        </w:rPr>
        <w:t xml:space="preserve">2. Payment Terms:</w:t>
      </w:r>
      <w:r>
        <w:t xml:space="preserve"> </w:t>
      </w:r>
      <w:r>
        <w:t xml:space="preserve">Payment shall be made in Myanmar Kyat (MMK) via bank transfer to the supplier's designated account within 30 days of confirmed receipt and inspection of all goods. A 10% advance payment is due upon acceptance of this</w:t>
      </w:r>
      <w:r>
        <w:t xml:space="preserve"> </w:t>
      </w:r>
      <w:r>
        <w:t xml:space="preserve">Purchase Order</w:t>
      </w:r>
      <w:r>
        <w:t xml:space="preserve"> </w:t>
      </w:r>
      <w:r>
        <w:t xml:space="preserve">by the</w:t>
      </w:r>
      <w:r>
        <w:t xml:space="preserve"> </w:t>
      </w:r>
      <w:r>
        <w:t xml:space="preserve">Ophthalmologist</w:t>
      </w:r>
      <w:r>
        <w:t xml:space="preserve">.</w:t>
      </w:r>
    </w:p>
    <w:p>
      <w:pPr>
        <w:numPr>
          <w:ilvl w:val="0"/>
          <w:numId w:val="1001"/>
        </w:numPr>
        <w:pStyle w:val="Compact"/>
      </w:pPr>
      <w:r>
        <w:rPr>
          <w:bCs/>
          <w:b/>
        </w:rPr>
        <w:t xml:space="preserve">3. Quality Assurance:</w:t>
      </w:r>
      <w:r>
        <w:t xml:space="preserve"> </w:t>
      </w:r>
      <w:r>
        <w:t xml:space="preserve">All ophthalmic instruments and equipment must be new, unused, and accompanied by valid manufacturer warranties. The</w:t>
      </w:r>
      <w:r>
        <w:t xml:space="preserve"> </w:t>
      </w:r>
      <w:r>
        <w:t xml:space="preserve">Ophthalmologist</w:t>
      </w:r>
      <w:r>
        <w:t xml:space="preserve"> </w:t>
      </w:r>
      <w:r>
        <w:t xml:space="preserve">reserves the right to reject any item that does not meet the specified standards or fails clinical calibration tests upon installation.</w:t>
      </w:r>
    </w:p>
    <w:p>
      <w:pPr>
        <w:numPr>
          <w:ilvl w:val="0"/>
          <w:numId w:val="1001"/>
        </w:numPr>
        <w:pStyle w:val="Compact"/>
      </w:pPr>
      <w:r>
        <w:rPr>
          <w:bCs/>
          <w:b/>
        </w:rPr>
        <w:t xml:space="preserve">4. Installation and Training:</w:t>
      </w:r>
      <w:r>
        <w:t xml:space="preserve"> </w:t>
      </w:r>
      <w:r>
        <w:t xml:space="preserve">The supplier is responsible for the on-site installation of all capital equipment (items 1–4, 8, and 9) and shall provide a minimum of two (2) days of hands-on training for the</w:t>
      </w:r>
      <w:r>
        <w:t xml:space="preserve"> </w:t>
      </w:r>
      <w:r>
        <w:t xml:space="preserve">Ophthalmologist</w:t>
      </w:r>
      <w:r>
        <w:t xml:space="preserve"> </w:t>
      </w:r>
      <w:r>
        <w:t xml:space="preserve">and two (2) designated nursing staff at the</w:t>
      </w:r>
      <w:r>
        <w:t xml:space="preserve"> </w:t>
      </w:r>
      <w:r>
        <w:t xml:space="preserve">Myanmar Yangon</w:t>
      </w:r>
      <w:r>
        <w:t xml:space="preserve"> </w:t>
      </w:r>
      <w:r>
        <w:t xml:space="preserve">facility.</w:t>
      </w:r>
    </w:p>
    <w:p>
      <w:pPr>
        <w:numPr>
          <w:ilvl w:val="0"/>
          <w:numId w:val="1001"/>
        </w:numPr>
        <w:pStyle w:val="Compact"/>
      </w:pPr>
      <w:r>
        <w:rPr>
          <w:bCs/>
          <w:b/>
        </w:rPr>
        <w:t xml:space="preserve">5. Regulatory Compliance:</w:t>
      </w:r>
      <w:r>
        <w:t xml:space="preserve"> </w:t>
      </w:r>
      <w:r>
        <w:t xml:space="preserve">All medical devices and pharmaceutical products must comply with the regulations set forth by the Myanmar Food and Drug Authority (MFDA) and the Ministry of Health,</w:t>
      </w:r>
      <w:r>
        <w:t xml:space="preserve"> </w:t>
      </w:r>
      <w:r>
        <w:t xml:space="preserve">Myanmar Yangon</w:t>
      </w:r>
      <w:r>
        <w:t xml:space="preserve">. Import permits, registration certificates, and certificates of free sale must be submitted prior to delivery.</w:t>
      </w:r>
    </w:p>
    <w:p>
      <w:pPr>
        <w:numPr>
          <w:ilvl w:val="0"/>
          <w:numId w:val="1001"/>
        </w:numPr>
        <w:pStyle w:val="Compact"/>
      </w:pPr>
      <w:r>
        <w:rPr>
          <w:bCs/>
          <w:b/>
        </w:rPr>
        <w:t xml:space="preserve">6. Warranty:</w:t>
      </w:r>
      <w:r>
        <w:t xml:space="preserve"> </w:t>
      </w:r>
      <w:r>
        <w:t xml:space="preserve">Capital equipment carries a minimum two-year comprehensive warranty. Consumable items (items 6, 7, 10, 11, 12) must have a remaining shelf life of no less than eighteen (18) months at the time of delivery to</w:t>
      </w:r>
      <w:r>
        <w:t xml:space="preserve"> </w:t>
      </w:r>
      <w:r>
        <w:t xml:space="preserve">Myanmar Yangon</w:t>
      </w:r>
      <w:r>
        <w:t xml:space="preserve">.</w:t>
      </w:r>
    </w:p>
    <w:p>
      <w:pPr>
        <w:numPr>
          <w:ilvl w:val="0"/>
          <w:numId w:val="1001"/>
        </w:numPr>
        <w:pStyle w:val="Compact"/>
      </w:pPr>
      <w:r>
        <w:rPr>
          <w:bCs/>
          <w:b/>
        </w:rPr>
        <w:t xml:space="preserve">7. Cancellation and Modification:</w:t>
      </w:r>
      <w:r>
        <w:t xml:space="preserve"> </w:t>
      </w:r>
      <w:r>
        <w:t xml:space="preserve">This</w:t>
      </w:r>
      <w:r>
        <w:t xml:space="preserve"> </w:t>
      </w:r>
      <w:r>
        <w:t xml:space="preserve">Purchase Order</w:t>
      </w:r>
      <w:r>
        <w:t xml:space="preserve"> </w:t>
      </w:r>
      <w:r>
        <w:t xml:space="preserve">may be modified or cancelled in writing by either party with a minimum of fourteen (14) days' notice. Any cancellation after the advance payment has been processed shall be subject to a 5% administrative fee.</w:t>
      </w:r>
    </w:p>
    <w:p>
      <w:pPr>
        <w:numPr>
          <w:ilvl w:val="0"/>
          <w:numId w:val="1001"/>
        </w:numPr>
        <w:pStyle w:val="Compact"/>
      </w:pPr>
      <w:r>
        <w:rPr>
          <w:bCs/>
          <w:b/>
        </w:rPr>
        <w:t xml:space="preserve">8. Governing Law:</w:t>
      </w:r>
      <w:r>
        <w:t xml:space="preserve"> </w:t>
      </w:r>
      <w:r>
        <w:t xml:space="preserve">This</w:t>
      </w:r>
      <w:r>
        <w:t xml:space="preserve"> </w:t>
      </w:r>
      <w:r>
        <w:t xml:space="preserve">Purchase Order</w:t>
      </w:r>
      <w:r>
        <w:t xml:space="preserve"> </w:t>
      </w:r>
      <w:r>
        <w:t xml:space="preserve">shall be governed by and construed in accordance with the laws of the Republic of the Union of Myanmar. Any disputes shall be resolved through arbitration in</w:t>
      </w:r>
      <w:r>
        <w:t xml:space="preserve"> </w:t>
      </w:r>
      <w:r>
        <w:t xml:space="preserve">Myanmar Yangon</w:t>
      </w:r>
      <w:r>
        <w:t xml:space="preserve"> </w:t>
      </w:r>
      <w:r>
        <w:t xml:space="preserve">under the Myanmar Arbitration Centre.</w:t>
      </w:r>
    </w:p>
    <w:p>
      <w:pPr>
        <w:numPr>
          <w:ilvl w:val="0"/>
          <w:numId w:val="1001"/>
        </w:numPr>
        <w:pStyle w:val="Compact"/>
      </w:pPr>
      <w:r>
        <w:rPr>
          <w:bCs/>
          <w:b/>
        </w:rPr>
        <w:t xml:space="preserve">9. Validity:</w:t>
      </w:r>
      <w:r>
        <w:t xml:space="preserve"> </w:t>
      </w:r>
      <w:r>
        <w:t xml:space="preserve">This</w:t>
      </w:r>
      <w:r>
        <w:t xml:space="preserve"> </w:t>
      </w:r>
      <w:r>
        <w:t xml:space="preserve">Purchase Order</w:t>
      </w:r>
      <w:r>
        <w:t xml:space="preserve"> </w:t>
      </w:r>
      <w:r>
        <w:t xml:space="preserve">is valid for acceptance within ten (10) calendar days from the date of issue. After this period, pricing and availability are subject to reconfirmation.</w:t>
      </w:r>
    </w:p>
    <w:p>
      <w:pPr>
        <w:pStyle w:val="FirstParagraph"/>
      </w:pPr>
      <w:r>
        <w:t xml:space="preserve">AUTHORIZATION AND ACCEPTANCE</w:t>
      </w:r>
    </w:p>
    <w:p>
      <w:pPr>
        <w:pStyle w:val="BodyText"/>
      </w:pPr>
      <w:r>
        <w:t xml:space="preserve">By signing below, both parties acknowledge and agree to all terms, conditions, and specifications outlined in this</w:t>
      </w:r>
      <w:r>
        <w:t xml:space="preserve"> </w:t>
      </w:r>
      <w:r>
        <w:t xml:space="preserve">Purchase Order</w:t>
      </w:r>
      <w:r>
        <w:t xml:space="preserve"> </w:t>
      </w:r>
      <w:r>
        <w:t xml:space="preserve">for the procurement of ophthalmic supplies and equipment for the</w:t>
      </w:r>
      <w:r>
        <w:t xml:space="preserve"> </w:t>
      </w:r>
      <w:r>
        <w:t xml:space="preserve">Ophthalmologist</w:t>
      </w:r>
      <w:r>
        <w:t xml:space="preserve"> </w:t>
      </w:r>
      <w:r>
        <w:t xml:space="preserve">at the</w:t>
      </w:r>
      <w:r>
        <w:t xml:space="preserve"> </w:t>
      </w:r>
      <w:r>
        <w:t xml:space="preserve">Myanmar Yangon</w:t>
      </w:r>
      <w:r>
        <w:t xml:space="preserve"> </w:t>
      </w:r>
      <w:r>
        <w:t xml:space="preserve">facility.</w:t>
      </w:r>
    </w:p>
    <w:p>
      <w:pPr>
        <w:pStyle w:val="BodyText"/>
      </w:pPr>
      <w:r>
        <w:rPr>
          <w:bCs/>
          <w:b/>
        </w:rPr>
        <w:t xml:space="preserve">For and on behalf of Golden Lotus Medical Procurement Co., Ltd.:</w:t>
      </w:r>
    </w:p>
    <w:p>
      <w:pPr>
        <w:pStyle w:val="BodyText"/>
      </w:pPr>
      <w:r>
        <w:t xml:space="preserve">Name: U Thura Win</w:t>
      </w:r>
    </w:p>
    <w:p>
      <w:pPr>
        <w:pStyle w:val="BodyText"/>
      </w:pPr>
      <w:r>
        <w:t xml:space="preserve">Title: Chief Procurement Officer</w:t>
      </w:r>
    </w:p>
    <w:p>
      <w:pPr>
        <w:pStyle w:val="BodyText"/>
      </w:pPr>
      <w:r>
        <w:t xml:space="preserve">Signature: _________________________</w:t>
      </w:r>
    </w:p>
    <w:p>
      <w:pPr>
        <w:pStyle w:val="BodyText"/>
      </w:pPr>
      <w:r>
        <w:t xml:space="preserve">Date: 15 June 2025</w:t>
      </w:r>
    </w:p>
    <w:p>
      <w:pPr>
        <w:pStyle w:val="BodyText"/>
      </w:pPr>
      <w:r>
        <w:rPr>
          <w:bCs/>
          <w:b/>
        </w:rPr>
        <w:t xml:space="preserve">For and on behalf of Yangon Vision &amp; Eye Care Centre:</w:t>
      </w:r>
    </w:p>
    <w:p>
      <w:pPr>
        <w:pStyle w:val="BodyText"/>
      </w:pPr>
      <w:r>
        <w:t xml:space="preserve">Name: Dr. Aung Kyaw Min, Ophthalmologist</w:t>
      </w:r>
    </w:p>
    <w:p>
      <w:pPr>
        <w:pStyle w:val="BodyText"/>
      </w:pPr>
      <w:r>
        <w:t xml:space="preserve">Title: Lead Ophthalmologist / Director</w:t>
      </w:r>
    </w:p>
    <w:p>
      <w:pPr>
        <w:pStyle w:val="BodyText"/>
      </w:pPr>
      <w:r>
        <w:t xml:space="preserve">Signature: _________________________</w:t>
      </w:r>
    </w:p>
    <w:p>
      <w:pPr>
        <w:pStyle w:val="BodyText"/>
      </w:pPr>
      <w:r>
        <w:t xml:space="preserve">Date: _______________</w:t>
      </w:r>
    </w:p>
    <w:p>
      <w:pPr>
        <w:pStyle w:val="BodyText"/>
      </w:pPr>
      <w:r>
        <w:t xml:space="preserve">This</w:t>
      </w:r>
      <w:r>
        <w:t xml:space="preserve"> </w:t>
      </w:r>
      <w:r>
        <w:t xml:space="preserve">Purchase Order</w:t>
      </w:r>
      <w:r>
        <w:t xml:space="preserve"> </w:t>
      </w:r>
      <w:r>
        <w:t xml:space="preserve">(PO-2025-YGN-00847) is a legally binding document issued in</w:t>
      </w:r>
      <w:r>
        <w:t xml:space="preserve"> </w:t>
      </w:r>
      <w:r>
        <w:t xml:space="preserve">Myanmar Yangon</w:t>
      </w:r>
      <w:r>
        <w:t xml:space="preserve"> </w:t>
      </w:r>
      <w:r>
        <w:t xml:space="preserve">for the procurement of ophthalmic goods and services. All communications regarding this order shall be directed to the procurement office at the address stated above. Unauthorized reproduction or alteration of this document is strictly prohibited.</w:t>
      </w:r>
    </w:p>
    <w:p>
      <w:pPr>
        <w:pStyle w:val="BodyText"/>
      </w:pPr>
      <w:r>
        <w:t xml:space="preserve">Document generated on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Ophthalmologist Services - Myanmar Yangon</dc:title>
  <dc:creator/>
  <dc:language>en</dc:language>
  <cp:keywords/>
  <dcterms:created xsi:type="dcterms:W3CDTF">2026-10-10T01:10:34Z</dcterms:created>
  <dcterms:modified xsi:type="dcterms:W3CDTF">2026-10-10T01:10:34Z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