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Shree Netra Hospital &amp; Ophthalmology Centre, Kathmandu, Nepal</w:t>
      </w:r>
    </w:p>
    <w:p>
      <w:pPr>
        <w:pStyle w:val="BodyText"/>
      </w:pPr>
      <w:r>
        <w:t xml:space="preserve">Ward No. 10, Maharajgunj, Kathmandu 44600, Nepal | Phone: +977-1-4762345 | Email: procurement@shreenetra.com.np</w:t>
      </w:r>
    </w:p>
    <w:bookmarkEnd w:id="20"/>
    <w:p>
      <w:pPr>
        <w:pStyle w:val="BodyText"/>
      </w:pPr>
      <w:r>
        <w:t xml:space="preserve">Purchase Order No.: PO/OPH/2025/00472</w:t>
      </w:r>
      <w:r>
        <w:br/>
      </w:r>
      <w:r>
        <w:t xml:space="preserve">Date of Issue: 15 June 2025</w:t>
      </w:r>
      <w:r>
        <w:br/>
      </w:r>
      <w:r>
        <w:t xml:space="preserve">Valid Until: 15 July 2025</w:t>
      </w:r>
    </w:p>
    <w:bookmarkStart w:id="21" w:name="buyer-issuing-authority"/>
    <w:p>
      <w:pPr>
        <w:pStyle w:val="Heading3"/>
      </w:pPr>
      <w:r>
        <w:t xml:space="preserve">Buyer (Issuing Authority)</w:t>
      </w:r>
    </w:p>
    <w:p>
      <w:pPr>
        <w:pStyle w:val="FirstParagraph"/>
      </w:pPr>
      <w:r>
        <w:rPr>
          <w:bCs/>
          <w:b/>
        </w:rPr>
        <w:t xml:space="preserve">Shree Netra Hospital &amp; Ophthalmology Centre</w:t>
      </w:r>
    </w:p>
    <w:p>
      <w:pPr>
        <w:pStyle w:val="BodyText"/>
      </w:pPr>
      <w:r>
        <w:t xml:space="preserve">Ward No. 10, Maharajgunj</w:t>
      </w:r>
    </w:p>
    <w:p>
      <w:pPr>
        <w:pStyle w:val="BodyText"/>
      </w:pPr>
      <w:r>
        <w:t xml:space="preserve">Kathmandu 44600, Nepal</w:t>
      </w:r>
    </w:p>
    <w:p>
      <w:pPr>
        <w:pStyle w:val="BodyText"/>
      </w:pPr>
      <w:r>
        <w:t xml:space="preserve">VAT Registration No.: 101234567</w:t>
      </w:r>
    </w:p>
    <w:p>
      <w:pPr>
        <w:pStyle w:val="BodyText"/>
      </w:pPr>
      <w:r>
        <w:t xml:space="preserve">Contact: Dr. Anil Shrestha, Chief Ophthalmologist</w:t>
      </w:r>
    </w:p>
    <w:p>
      <w:pPr>
        <w:pStyle w:val="BodyText"/>
      </w:pPr>
      <w:r>
        <w:t xml:space="preserve">Procurement Officer: Sunita Gurung</w:t>
      </w:r>
    </w:p>
    <w:bookmarkEnd w:id="21"/>
    <w:bookmarkStart w:id="22" w:name="supplier-vendor"/>
    <w:p>
      <w:pPr>
        <w:pStyle w:val="Heading3"/>
      </w:pPr>
      <w:r>
        <w:t xml:space="preserve">Supplier (Vendor)</w:t>
      </w:r>
    </w:p>
    <w:p>
      <w:pPr>
        <w:pStyle w:val="FirstParagraph"/>
      </w:pPr>
      <w:r>
        <w:rPr>
          <w:bCs/>
          <w:b/>
        </w:rPr>
        <w:t xml:space="preserve">MediTech Ophthalmic Solutions Pvt. Ltd.</w:t>
      </w:r>
    </w:p>
    <w:p>
      <w:pPr>
        <w:pStyle w:val="BodyText"/>
      </w:pPr>
      <w:r>
        <w:t xml:space="preserve">Plot No. 45, New Road, Baneshwor</w:t>
      </w:r>
    </w:p>
    <w:p>
      <w:pPr>
        <w:pStyle w:val="BodyText"/>
      </w:pPr>
      <w:r>
        <w:t xml:space="preserve">Kathmandu 44601, Nepal</w:t>
      </w:r>
    </w:p>
    <w:p>
      <w:pPr>
        <w:pStyle w:val="BodyText"/>
      </w:pPr>
      <w:r>
        <w:t xml:space="preserve">Company Reg. No.: 2080/81-04567</w:t>
      </w:r>
    </w:p>
    <w:p>
      <w:pPr>
        <w:pStyle w:val="BodyText"/>
      </w:pPr>
      <w:r>
        <w:t xml:space="preserve">Contact: Mr. Rajesh Koirala, Sales Director</w:t>
      </w:r>
    </w:p>
    <w:p>
      <w:pPr>
        <w:pStyle w:val="BodyText"/>
      </w:pPr>
      <w:r>
        <w:t xml:space="preserve">Phone: +977-1-5548901</w:t>
      </w:r>
    </w:p>
    <w:bookmarkEnd w:id="22"/>
    <w:p>
      <w:pPr>
        <w:pStyle w:val="BodyText"/>
      </w:pPr>
      <w:r>
        <w:t xml:space="preserve">This Purchase Order is issued by Shree Netra Hospital &amp; Ophthalmology Centre, Kathmandu, Nepal, for the procurement of specialized ophthalmic equipment, surgical instruments, and consumable medical supplies required for the Ophthalmologist department. This Purchase Order covers the complete supply chain needs of our Ophthalmologist team for the upcoming fiscal quarter, ensuring uninterrupted patient care in the Nepal Kathmandu region. The items listed below have been selected based on the clinical recommendations provided by our senior Ophthalmologist, Dr. Anil Shrestha, and have been approved by the hospital's Procurement Committee in accordance with the Nepal Government's public procurement guidelines and the hospital's internal purchasing policies.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Goods / Services</w:t>
            </w:r>
          </w:p>
        </w:tc>
        <w:tc>
          <w:tcPr/>
          <w:p>
            <w:pPr>
              <w:pStyle w:val="Compact"/>
              <w:jc w:val="left"/>
            </w:pPr>
            <w:r>
              <w:t xml:space="preserve">Specification / Model</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(NPR)</w:t>
            </w:r>
          </w:p>
        </w:tc>
        <w:tc>
          <w:tcPr/>
          <w:p>
            <w:pPr>
              <w:pStyle w:val="Compact"/>
              <w:jc w:val="left"/>
            </w:pPr>
            <w:r>
              <w:t xml:space="preserve">Total Price (NPR)</w:t>
            </w:r>
          </w:p>
        </w:tc>
      </w:tr>
      <w:tr>
        <w:tc>
          <w:tcPr/>
          <w:p>
            <w:pPr>
              <w:pStyle w:val="Compact"/>
              <w:jc w:val="left"/>
            </w:pPr>
            <w:r>
              <w:t xml:space="preserve">1</w:t>
            </w:r>
          </w:p>
        </w:tc>
        <w:tc>
          <w:tcPr/>
          <w:p>
            <w:pPr>
              <w:pStyle w:val="Compact"/>
              <w:jc w:val="left"/>
            </w:pPr>
            <w:r>
              <w:t xml:space="preserve">Phacoemulsification Machine (for Ophthalmologist use)</w:t>
            </w:r>
          </w:p>
        </w:tc>
        <w:tc>
          <w:tcPr/>
          <w:p>
            <w:pPr>
              <w:pStyle w:val="Compact"/>
              <w:jc w:val="left"/>
            </w:pPr>
            <w:r>
              <w:t xml:space="preserve">Alcon Infiniti IS 5000</w:t>
            </w:r>
          </w:p>
        </w:tc>
        <w:tc>
          <w:tcPr/>
          <w:p>
            <w:pPr>
              <w:pStyle w:val="Compact"/>
              <w:jc w:val="left"/>
            </w:pPr>
            <w:r>
              <w:t xml:space="preserve">1</w:t>
            </w:r>
          </w:p>
        </w:tc>
        <w:tc>
          <w:tcPr/>
          <w:p>
            <w:pPr>
              <w:pStyle w:val="Compact"/>
              <w:jc w:val="left"/>
            </w:pPr>
            <w:r>
              <w:t xml:space="preserve">Set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Slit Lamp Biomicroscope with Fundus Camera</w:t>
            </w:r>
          </w:p>
        </w:tc>
        <w:tc>
          <w:tcPr/>
          <w:p>
            <w:pPr>
              <w:pStyle w:val="Compact"/>
              <w:jc w:val="left"/>
            </w:pPr>
            <w:r>
              <w:t xml:space="preserve">Topcon SL-D7P</w:t>
            </w:r>
          </w:p>
        </w:tc>
        <w:tc>
          <w:tcPr/>
          <w:p>
            <w:pPr>
              <w:pStyle w:val="Compact"/>
              <w:jc w:val="left"/>
            </w:pPr>
            <w:r>
              <w:t xml:space="preserve">2</w:t>
            </w:r>
          </w:p>
        </w:tc>
        <w:tc>
          <w:tcPr/>
          <w:p>
            <w:pPr>
              <w:pStyle w:val="Compact"/>
              <w:jc w:val="left"/>
            </w:pPr>
            <w:r>
              <w:t xml:space="preserve">Unit</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3</w:t>
            </w:r>
          </w:p>
        </w:tc>
        <w:tc>
          <w:tcPr/>
          <w:p>
            <w:pPr>
              <w:pStyle w:val="Compact"/>
              <w:jc w:val="left"/>
            </w:pPr>
            <w:r>
              <w:t xml:space="preserve">Optical Coherence Tomography (OCT) Scanner</w:t>
            </w:r>
          </w:p>
        </w:tc>
        <w:tc>
          <w:tcPr/>
          <w:p>
            <w:pPr>
              <w:pStyle w:val="Compact"/>
              <w:jc w:val="left"/>
            </w:pPr>
            <w:r>
              <w:t xml:space="preserve">Zeiss Cirrus HD-OCT</w:t>
            </w:r>
          </w:p>
        </w:tc>
        <w:tc>
          <w:tcPr/>
          <w:p>
            <w:pPr>
              <w:pStyle w:val="Compact"/>
              <w:jc w:val="left"/>
            </w:pPr>
            <w:r>
              <w:t xml:space="preserve">1</w:t>
            </w:r>
          </w:p>
        </w:tc>
        <w:tc>
          <w:tcPr/>
          <w:p>
            <w:pPr>
              <w:pStyle w:val="Compact"/>
              <w:jc w:val="left"/>
            </w:pPr>
            <w:r>
              <w:t xml:space="preserve">Unit</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4</w:t>
            </w:r>
          </w:p>
        </w:tc>
        <w:tc>
          <w:tcPr/>
          <w:p>
            <w:pPr>
              <w:pStyle w:val="Compact"/>
              <w:jc w:val="left"/>
            </w:pPr>
            <w:r>
              <w:t xml:space="preserve">Intraocular Lens (IOL) – Monofocal, 20.0D</w:t>
            </w:r>
          </w:p>
        </w:tc>
        <w:tc>
          <w:tcPr/>
          <w:p>
            <w:pPr>
              <w:pStyle w:val="Compact"/>
              <w:jc w:val="left"/>
            </w:pPr>
            <w:r>
              <w:t xml:space="preserve">Alcon SN60AT</w:t>
            </w:r>
          </w:p>
        </w:tc>
        <w:tc>
          <w:tcPr/>
          <w:p>
            <w:pPr>
              <w:pStyle w:val="Compact"/>
              <w:jc w:val="left"/>
            </w:pPr>
            <w:r>
              <w:t xml:space="preserve">500</w:t>
            </w:r>
          </w:p>
        </w:tc>
        <w:tc>
          <w:tcPr/>
          <w:p>
            <w:pPr>
              <w:pStyle w:val="Compact"/>
              <w:jc w:val="left"/>
            </w:pPr>
            <w:r>
              <w:t xml:space="preserve">Pcs</w:t>
            </w:r>
          </w:p>
        </w:tc>
        <w:tc>
          <w:tcPr/>
          <w:p>
            <w:pPr>
              <w:pStyle w:val="Compact"/>
              <w:jc w:val="left"/>
            </w:pPr>
            <w:r>
              <w:t xml:space="preserve">18,500</w:t>
            </w:r>
          </w:p>
        </w:tc>
        <w:tc>
          <w:tcPr/>
          <w:p>
            <w:pPr>
              <w:pStyle w:val="Compact"/>
              <w:jc w:val="left"/>
            </w:pPr>
            <w:r>
              <w:t xml:space="preserve">9,250,000</w:t>
            </w:r>
          </w:p>
        </w:tc>
      </w:tr>
      <w:tr>
        <w:tc>
          <w:tcPr/>
          <w:p>
            <w:pPr>
              <w:pStyle w:val="Compact"/>
              <w:jc w:val="left"/>
            </w:pPr>
            <w:r>
              <w:t xml:space="preserve">5</w:t>
            </w:r>
          </w:p>
        </w:tc>
        <w:tc>
          <w:tcPr/>
          <w:p>
            <w:pPr>
              <w:pStyle w:val="Compact"/>
              <w:jc w:val="left"/>
            </w:pPr>
            <w:r>
              <w:t xml:space="preserve">Phacoemulsification Handpieces &amp; Tips (for Ophthalmologist)</w:t>
            </w:r>
          </w:p>
        </w:tc>
        <w:tc>
          <w:tcPr/>
          <w:p>
            <w:pPr>
              <w:pStyle w:val="Compact"/>
              <w:jc w:val="left"/>
            </w:pPr>
            <w:r>
              <w:t xml:space="preserve">Alcon C40D / C40K</w:t>
            </w:r>
          </w:p>
        </w:tc>
        <w:tc>
          <w:tcPr/>
          <w:p>
            <w:pPr>
              <w:pStyle w:val="Compact"/>
              <w:jc w:val="left"/>
            </w:pPr>
            <w:r>
              <w:t xml:space="preserve">200</w:t>
            </w:r>
          </w:p>
        </w:tc>
        <w:tc>
          <w:tcPr/>
          <w:p>
            <w:pPr>
              <w:pStyle w:val="Compact"/>
              <w:jc w:val="left"/>
            </w:pPr>
            <w:r>
              <w:t xml:space="preserve">Pcs</w:t>
            </w:r>
          </w:p>
        </w:tc>
        <w:tc>
          <w:tcPr/>
          <w:p>
            <w:pPr>
              <w:pStyle w:val="Compact"/>
              <w:jc w:val="left"/>
            </w:pPr>
            <w:r>
              <w:t xml:space="preserve">4,200</w:t>
            </w:r>
          </w:p>
        </w:tc>
        <w:tc>
          <w:tcPr/>
          <w:p>
            <w:pPr>
              <w:pStyle w:val="Compact"/>
              <w:jc w:val="left"/>
            </w:pPr>
            <w:r>
              <w:t xml:space="preserve">840,000</w:t>
            </w:r>
          </w:p>
        </w:tc>
      </w:tr>
      <w:tr>
        <w:tc>
          <w:tcPr/>
          <w:p>
            <w:pPr>
              <w:pStyle w:val="Compact"/>
              <w:jc w:val="left"/>
            </w:pPr>
            <w:r>
              <w:t xml:space="preserve">6</w:t>
            </w:r>
          </w:p>
        </w:tc>
        <w:tc>
          <w:tcPr/>
          <w:p>
            <w:pPr>
              <w:pStyle w:val="Compact"/>
              <w:jc w:val="left"/>
            </w:pPr>
            <w:r>
              <w:t xml:space="preserve">Viscoelastic Agent (OVD) – Sodium Hyaluronate 1%</w:t>
            </w:r>
          </w:p>
        </w:tc>
        <w:tc>
          <w:tcPr/>
          <w:p>
            <w:pPr>
              <w:pStyle w:val="Compact"/>
              <w:jc w:val="left"/>
            </w:pPr>
            <w:r>
              <w:t xml:space="preserve">Healon 1%, 3ml syringe</w:t>
            </w:r>
          </w:p>
        </w:tc>
        <w:tc>
          <w:tcPr/>
          <w:p>
            <w:pPr>
              <w:pStyle w:val="Compact"/>
              <w:jc w:val="left"/>
            </w:pPr>
            <w:r>
              <w:t xml:space="preserve">300</w:t>
            </w:r>
          </w:p>
        </w:tc>
        <w:tc>
          <w:tcPr/>
          <w:p>
            <w:pPr>
              <w:pStyle w:val="Compact"/>
              <w:jc w:val="left"/>
            </w:pPr>
            <w:r>
              <w:t xml:space="preserve">Syringes</w:t>
            </w:r>
          </w:p>
        </w:tc>
        <w:tc>
          <w:tcPr/>
          <w:p>
            <w:pPr>
              <w:pStyle w:val="Compact"/>
              <w:jc w:val="left"/>
            </w:pPr>
            <w:r>
              <w:t xml:space="preserve">3,800</w:t>
            </w:r>
          </w:p>
        </w:tc>
        <w:tc>
          <w:tcPr/>
          <w:p>
            <w:pPr>
              <w:pStyle w:val="Compact"/>
              <w:jc w:val="left"/>
            </w:pPr>
            <w:r>
              <w:t xml:space="preserve">1,140,000</w:t>
            </w:r>
          </w:p>
        </w:tc>
      </w:tr>
      <w:tr>
        <w:tc>
          <w:tcPr/>
          <w:p>
            <w:pPr>
              <w:pStyle w:val="Compact"/>
              <w:jc w:val="left"/>
            </w:pPr>
            <w:r>
              <w:t xml:space="preserve">7</w:t>
            </w:r>
          </w:p>
        </w:tc>
        <w:tc>
          <w:tcPr/>
          <w:p>
            <w:pPr>
              <w:pStyle w:val="Compact"/>
              <w:jc w:val="left"/>
            </w:pPr>
            <w:r>
              <w:t xml:space="preserve">Topical Anaesthetic Drops – Proparacaine 0.5%</w:t>
            </w:r>
          </w:p>
        </w:tc>
        <w:tc>
          <w:tcPr/>
          <w:p>
            <w:pPr>
              <w:pStyle w:val="Compact"/>
              <w:jc w:val="left"/>
            </w:pPr>
            <w:r>
              <w:t xml:space="preserve">10ml vials</w:t>
            </w:r>
          </w:p>
        </w:tc>
        <w:tc>
          <w:tcPr/>
          <w:p>
            <w:pPr>
              <w:pStyle w:val="Compact"/>
              <w:jc w:val="left"/>
            </w:pPr>
            <w:r>
              <w:t xml:space="preserve">1,000</w:t>
            </w:r>
          </w:p>
        </w:tc>
        <w:tc>
          <w:tcPr/>
          <w:p>
            <w:pPr>
              <w:pStyle w:val="Compact"/>
              <w:jc w:val="left"/>
            </w:pPr>
            <w:r>
              <w:t xml:space="preserve">Vials</w:t>
            </w:r>
          </w:p>
        </w:tc>
        <w:tc>
          <w:tcPr/>
          <w:p>
            <w:pPr>
              <w:pStyle w:val="Compact"/>
              <w:jc w:val="left"/>
            </w:pPr>
            <w:r>
              <w:t xml:space="preserve">450</w:t>
            </w:r>
          </w:p>
        </w:tc>
        <w:tc>
          <w:tcPr/>
          <w:p>
            <w:pPr>
              <w:pStyle w:val="Compact"/>
              <w:jc w:val="left"/>
            </w:pPr>
            <w:r>
              <w:t xml:space="preserve">450,000</w:t>
            </w:r>
          </w:p>
        </w:tc>
      </w:tr>
      <w:tr>
        <w:tc>
          <w:tcPr/>
          <w:p>
            <w:pPr>
              <w:pStyle w:val="Compact"/>
              <w:jc w:val="left"/>
            </w:pPr>
            <w:r>
              <w:t xml:space="preserve">8</w:t>
            </w:r>
          </w:p>
        </w:tc>
        <w:tc>
          <w:tcPr/>
          <w:p>
            <w:pPr>
              <w:pStyle w:val="Compact"/>
              <w:jc w:val="left"/>
            </w:pPr>
            <w:r>
              <w:t xml:space="preserve">Antibiotic Eye Drops – Moxifloxacin 0.5%</w:t>
            </w:r>
          </w:p>
        </w:tc>
        <w:tc>
          <w:tcPr/>
          <w:p>
            <w:pPr>
              <w:pStyle w:val="Compact"/>
              <w:jc w:val="left"/>
            </w:pPr>
            <w:r>
              <w:t xml:space="preserve">5ml bottles</w:t>
            </w:r>
          </w:p>
        </w:tc>
        <w:tc>
          <w:tcPr/>
          <w:p>
            <w:pPr>
              <w:pStyle w:val="Compact"/>
              <w:jc w:val="left"/>
            </w:pPr>
            <w:r>
              <w:t xml:space="preserve">500</w:t>
            </w:r>
          </w:p>
        </w:tc>
        <w:tc>
          <w:tcPr/>
          <w:p>
            <w:pPr>
              <w:pStyle w:val="Compact"/>
              <w:jc w:val="left"/>
            </w:pPr>
            <w:r>
              <w:t xml:space="preserve">Bottles</w:t>
            </w:r>
          </w:p>
        </w:tc>
        <w:tc>
          <w:tcPr/>
          <w:p>
            <w:pPr>
              <w:pStyle w:val="Compact"/>
              <w:jc w:val="left"/>
            </w:pPr>
            <w:r>
              <w:t xml:space="preserve">620</w:t>
            </w:r>
          </w:p>
        </w:tc>
        <w:tc>
          <w:tcPr/>
          <w:p>
            <w:pPr>
              <w:pStyle w:val="Compact"/>
              <w:jc w:val="left"/>
            </w:pPr>
            <w:r>
              <w:t xml:space="preserve">310,000</w:t>
            </w:r>
          </w:p>
        </w:tc>
      </w:tr>
      <w:tr>
        <w:tc>
          <w:tcPr/>
          <w:p>
            <w:pPr>
              <w:pStyle w:val="Compact"/>
              <w:jc w:val="left"/>
            </w:pPr>
            <w:r>
              <w:t xml:space="preserve">9</w:t>
            </w:r>
          </w:p>
        </w:tc>
        <w:tc>
          <w:tcPr/>
          <w:p>
            <w:pPr>
              <w:pStyle w:val="Compact"/>
              <w:jc w:val="left"/>
            </w:pPr>
            <w:r>
              <w:t xml:space="preserve">Surgical Microscope for Ophthalmologist Procedures</w:t>
            </w:r>
          </w:p>
        </w:tc>
        <w:tc>
          <w:tcPr/>
          <w:p>
            <w:pPr>
              <w:pStyle w:val="Compact"/>
              <w:jc w:val="left"/>
            </w:pPr>
            <w:r>
              <w:t xml:space="preserve">Zeiss OPMI Pentero 900</w:t>
            </w:r>
          </w:p>
        </w:tc>
        <w:tc>
          <w:tcPr/>
          <w:p>
            <w:pPr>
              <w:pStyle w:val="Compact"/>
              <w:jc w:val="left"/>
            </w:pPr>
            <w:r>
              <w:t xml:space="preserve">1</w:t>
            </w:r>
          </w:p>
        </w:tc>
        <w:tc>
          <w:tcPr/>
          <w:p>
            <w:pPr>
              <w:pStyle w:val="Compact"/>
              <w:jc w:val="left"/>
            </w:pPr>
            <w:r>
              <w:t xml:space="preserve">Unit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10</w:t>
            </w:r>
          </w:p>
        </w:tc>
        <w:tc>
          <w:tcPr/>
          <w:p>
            <w:pPr>
              <w:pStyle w:val="Compact"/>
              <w:jc w:val="left"/>
            </w:pPr>
            <w:r>
              <w:t xml:space="preserve">Annual Maintenance &amp; Calibration Service (all Ophthalmologist equipment)</w:t>
            </w:r>
          </w:p>
        </w:tc>
        <w:tc>
          <w:tcPr/>
          <w:p>
            <w:pPr>
              <w:pStyle w:val="Compact"/>
              <w:jc w:val="left"/>
            </w:pPr>
            <w:r>
              <w:t xml:space="preserve">Service Contract – 12 months</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11</w:t>
            </w:r>
          </w:p>
        </w:tc>
        <w:tc>
          <w:tcPr/>
          <w:p>
            <w:pPr>
              <w:pStyle w:val="Compact"/>
              <w:jc w:val="left"/>
            </w:pPr>
            <w:r>
              <w:t xml:space="preserve">Training &amp; Technical Support for Ophthalmologist Staff</w:t>
            </w:r>
          </w:p>
        </w:tc>
        <w:tc>
          <w:tcPr/>
          <w:p>
            <w:pPr>
              <w:pStyle w:val="Compact"/>
              <w:jc w:val="left"/>
            </w:pPr>
            <w:r>
              <w:t xml:space="preserve">On-site training, Kathmandu</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350,000</w:t>
            </w:r>
          </w:p>
        </w:tc>
        <w:tc>
          <w:tcPr/>
          <w:p>
            <w:pPr>
              <w:pStyle w:val="Compact"/>
              <w:jc w:val="left"/>
            </w:pPr>
            <w:r>
              <w:t xml:space="preserve">350,000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(NPR)</w:t>
            </w:r>
          </w:p>
        </w:tc>
        <w:tc>
          <w:tcPr/>
          <w:p>
            <w:pPr>
              <w:pStyle w:val="Compact"/>
              <w:jc w:val="right"/>
            </w:pPr>
            <w:r>
              <w:t xml:space="preserve">35,590,000</w:t>
            </w:r>
          </w:p>
        </w:tc>
      </w:tr>
      <w:tr>
        <w:tc>
          <w:tcPr/>
          <w:p>
            <w:pPr>
              <w:pStyle w:val="Compact"/>
              <w:jc w:val="left"/>
            </w:pPr>
            <w:r>
              <w:t xml:space="preserve">VAT @ 13% (Nepal Kathmandu applicable rate)</w:t>
            </w:r>
          </w:p>
        </w:tc>
        <w:tc>
          <w:tcPr/>
          <w:p>
            <w:pPr>
              <w:pStyle w:val="Compact"/>
              <w:jc w:val="right"/>
            </w:pPr>
            <w:r>
              <w:t xml:space="preserve">4,626,700</w:t>
            </w:r>
          </w:p>
        </w:tc>
      </w:tr>
      <w:tr>
        <w:tc>
          <w:tcPr/>
          <w:p>
            <w:pPr>
              <w:pStyle w:val="Compact"/>
              <w:jc w:val="left"/>
            </w:pPr>
            <w:r>
              <w:t xml:space="preserve">Delivery &amp; Installation Charges (Kathmandu Metro)</w:t>
            </w:r>
          </w:p>
        </w:tc>
        <w:tc>
          <w:tcPr/>
          <w:p>
            <w:pPr>
              <w:pStyle w:val="Compact"/>
              <w:jc w:val="right"/>
            </w:pPr>
            <w:r>
              <w:t xml:space="preserve">180,000</w:t>
            </w:r>
          </w:p>
        </w:tc>
      </w:tr>
      <w:tr>
        <w:tc>
          <w:tcPr/>
          <w:p>
            <w:pPr>
              <w:pStyle w:val="Compact"/>
              <w:jc w:val="left"/>
            </w:pPr>
            <w:r>
              <w:t xml:space="preserve">Grand Total (NPR)</w:t>
            </w:r>
          </w:p>
        </w:tc>
        <w:tc>
          <w:tcPr/>
          <w:p>
            <w:pPr>
              <w:pStyle w:val="Compact"/>
              <w:jc w:val="right"/>
            </w:pPr>
            <w:r>
              <w:t xml:space="preserve">40,396,700</w:t>
            </w:r>
          </w:p>
        </w:tc>
      </w:tr>
    </w:tbl>
    <w:p>
      <w:pPr>
        <w:pStyle w:val="BodyText"/>
      </w:pPr>
      <w:r>
        <w:t xml:space="preserve">Amount in words: Forty Million Three Hundred Ninety-Six Thousand Seven Hundred Nepali Rupees Only (NPR 40,396,700/-). All prices are quoted in Nepali Rupees (NPR) and are inclusive of applicable taxes as per Nepal Kathmandu municipal and federal tax regulations.</w:t>
      </w:r>
    </w:p>
    <w:bookmarkStart w:id="23" w:name="Xde1b1aa910af0d218dd23eb59edb0f3a99f22fc"/>
    <w:p>
      <w:pPr>
        <w:pStyle w:val="Heading3"/>
      </w:pPr>
      <w:r>
        <w:t xml:space="preserve">Terms and Conditions of this Purchase Order</w:t>
      </w:r>
    </w:p>
    <w:p>
      <w:pPr>
        <w:numPr>
          <w:ilvl w:val="0"/>
          <w:numId w:val="1001"/>
        </w:numPr>
        <w:pStyle w:val="Compact"/>
      </w:pPr>
      <w:r>
        <w:rPr>
          <w:bCs/>
          <w:b/>
        </w:rPr>
        <w:t xml:space="preserve">Delivery:</w:t>
      </w:r>
      <w:r>
        <w:t xml:space="preserve"> </w:t>
      </w:r>
      <w:r>
        <w:t xml:space="preserve">All equipment and supplies listed in this Purchase Order shall be delivered to the Shree Netra Hospital premises at Maharajgunj, Kathmandu, Nepal, within thirty (30) calendar days from the date of acceptance of this Purchase Order by the supplier. Delivery within the Nepal Kathmandu metropolitan area is mandatory; no out-of-region shipping is permitted without prior written consent.</w:t>
      </w:r>
    </w:p>
    <w:p>
      <w:pPr>
        <w:numPr>
          <w:ilvl w:val="0"/>
          <w:numId w:val="1001"/>
        </w:numPr>
        <w:pStyle w:val="Compact"/>
      </w:pPr>
      <w:r>
        <w:rPr>
          <w:bCs/>
          <w:b/>
        </w:rPr>
        <w:t xml:space="preserve">Payment Terms:</w:t>
      </w:r>
      <w:r>
        <w:t xml:space="preserve"> </w:t>
      </w:r>
      <w:r>
        <w:t xml:space="preserve">Payment shall be made in two installments: fifty percent (50%) upon delivery and successful installation of all major equipment, and the remaining fifty percent (50%) after a thirty-day operational trial period during which the Ophthalmologist team confirms full functionality of all purchased items. Payment shall be made via bank transfer to the supplier's registered account in Nepal.</w:t>
      </w:r>
    </w:p>
    <w:p>
      <w:pPr>
        <w:numPr>
          <w:ilvl w:val="0"/>
          <w:numId w:val="1001"/>
        </w:numPr>
        <w:pStyle w:val="Compact"/>
      </w:pPr>
      <w:r>
        <w:rPr>
          <w:bCs/>
          <w:b/>
        </w:rPr>
        <w:t xml:space="preserve">Warranty:</w:t>
      </w:r>
      <w:r>
        <w:t xml:space="preserve"> </w:t>
      </w:r>
      <w:r>
        <w:t xml:space="preserve">The supplier shall provide a minimum two-year comprehensive warranty on all capital equipment (items 1, 2, 3, and 9) and a twelve-month warranty on all consumable and accessory items. Warranty service must be available within the Nepal Kathmandu area with a maximum response time of forty-eight (48) hours.</w:t>
      </w:r>
    </w:p>
    <w:p>
      <w:pPr>
        <w:numPr>
          <w:ilvl w:val="0"/>
          <w:numId w:val="1001"/>
        </w:numPr>
        <w:pStyle w:val="Compact"/>
      </w:pPr>
      <w:r>
        <w:rPr>
          <w:bCs/>
          <w:b/>
        </w:rPr>
        <w:t xml:space="preserve">Quality Assurance:</w:t>
      </w:r>
      <w:r>
        <w:t xml:space="preserve"> </w:t>
      </w:r>
      <w:r>
        <w:t xml:space="preserve">All ophthalmic products must comply with the Nepal Drug Regulatory Authority (NDRA) standards and the World Health Organization (WHO) guidelines for ophthalmic devices. The Ophthalmologist in charge, Dr. Anil Shrestha, reserves the right to inspect and reject any item that does not meet the specified clinical standards.</w:t>
      </w:r>
    </w:p>
    <w:p>
      <w:pPr>
        <w:numPr>
          <w:ilvl w:val="0"/>
          <w:numId w:val="1001"/>
        </w:numPr>
        <w:pStyle w:val="Compact"/>
      </w:pPr>
      <w:r>
        <w:rPr>
          <w:bCs/>
          <w:b/>
        </w:rPr>
        <w:t xml:space="preserve">Installation &amp; Training:</w:t>
      </w:r>
      <w:r>
        <w:t xml:space="preserve"> </w:t>
      </w:r>
      <w:r>
        <w:t xml:space="preserve">The supplier is responsible for the complete installation, calibration, and commissioning of all major equipment at the hospital site in Kathmandu. Additionally, the supplier shall provide hands-on training to the Ophthalmologist staff and nursing team as outlined in Item 11 of this Purchase Order.</w:t>
      </w:r>
    </w:p>
    <w:p>
      <w:pPr>
        <w:numPr>
          <w:ilvl w:val="0"/>
          <w:numId w:val="1001"/>
        </w:numPr>
        <w:pStyle w:val="Compact"/>
      </w:pPr>
      <w:r>
        <w:rPr>
          <w:bCs/>
          <w:b/>
        </w:rPr>
        <w:t xml:space="preserve">Penalty for Delay:</w:t>
      </w:r>
      <w:r>
        <w:t xml:space="preserve"> </w:t>
      </w:r>
      <w:r>
        <w:t xml:space="preserve">In the event of delayed delivery beyond the stipulated thirty-day period, the supplier shall pay a penalty of one percent (1%) of the total Purchase Order value per week of delay, up to a maximum of ten percent (10%).</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Nepal. Any disputes arising from this Purchase Order shall be resolved through arbitration in Kathmandu, Nepal, in accordance with the Nepal Arbitration Act.</w:t>
      </w:r>
    </w:p>
    <w:p>
      <w:pPr>
        <w:numPr>
          <w:ilvl w:val="0"/>
          <w:numId w:val="1001"/>
        </w:numPr>
        <w:pStyle w:val="Compact"/>
      </w:pPr>
      <w:r>
        <w:rPr>
          <w:bCs/>
          <w:b/>
        </w:rPr>
        <w:t xml:space="preserve">Validity:</w:t>
      </w:r>
      <w:r>
        <w:t xml:space="preserve"> </w:t>
      </w:r>
      <w:r>
        <w:t xml:space="preserve">This Purchase Order is valid for thirty (30) days from the date of issue. If the supplier does not confirm acceptance within this period, this Purchase Order shall automatically lapse and may be reissued to an alternative vendor.</w:t>
      </w:r>
    </w:p>
    <w:bookmarkEnd w:id="23"/>
    <w:p>
      <w:pPr>
        <w:pStyle w:val="FirstParagraph"/>
      </w:pPr>
      <w:r>
        <w:rPr>
          <w:bCs/>
          <w:b/>
        </w:rPr>
        <w:t xml:space="preserve">For and on behalf of the Buyer:</w:t>
      </w:r>
    </w:p>
    <w:p>
      <w:pPr>
        <w:pStyle w:val="BodyText"/>
      </w:pPr>
      <w:r>
        <w:t xml:space="preserve">Shree Netra Hospital &amp; Ophthalmology Centre, Kathmandu, Nepal</w:t>
      </w:r>
    </w:p>
    <w:p>
      <w:pPr>
        <w:pStyle w:val="BodyText"/>
      </w:pPr>
      <w:r>
        <w:rPr>
          <w:bCs/>
          <w:b/>
        </w:rPr>
        <w:t xml:space="preserve">Sunita Gurung</w:t>
      </w:r>
      <w:r>
        <w:br/>
      </w:r>
      <w:r>
        <w:t xml:space="preserve">Procurement Officer</w:t>
      </w:r>
      <w:r>
        <w:br/>
      </w:r>
      <w:r>
        <w:t xml:space="preserve">Date: _______________</w:t>
      </w:r>
    </w:p>
    <w:p>
      <w:pPr>
        <w:pStyle w:val="BodyText"/>
      </w:pPr>
      <w:r>
        <w:rPr>
          <w:bCs/>
          <w:b/>
        </w:rPr>
        <w:t xml:space="preserve">For and on behalf of the Supplier:</w:t>
      </w:r>
    </w:p>
    <w:p>
      <w:pPr>
        <w:pStyle w:val="BodyText"/>
      </w:pPr>
      <w:r>
        <w:t xml:space="preserve">MediTech Ophthalmic Solutions Pvt. Ltd., Kathmandu, Nepal</w:t>
      </w:r>
    </w:p>
    <w:p>
      <w:pPr>
        <w:pStyle w:val="BodyText"/>
      </w:pPr>
      <w:r>
        <w:rPr>
          <w:bCs/>
          <w:b/>
        </w:rPr>
        <w:t xml:space="preserve">Rajesh Koirala</w:t>
      </w:r>
      <w:r>
        <w:br/>
      </w:r>
      <w:r>
        <w:t xml:space="preserve">Sales Director</w:t>
      </w:r>
      <w:r>
        <w:br/>
      </w:r>
      <w:r>
        <w:t xml:space="preserve">Date: _______________</w:t>
      </w:r>
    </w:p>
    <w:p>
      <w:pPr>
        <w:pStyle w:val="BodyText"/>
      </w:pPr>
      <w:r>
        <w:t xml:space="preserve">This Purchase Order (PO/OPH/2025/00472) is an official document of Shree Netra Hospital &amp; Ophthalmology Centre, Kathmandu, Nepal. It is intended solely for the procurement of ophthalmic goods and services for the Ophthalmologist department. Unauthorized reproduction or distribution of this Purchase Order is strictly prohibited. For queries, contact the Procurement Department at procurement@shreenetra.com.np or +977-1-4762345, Maharajgunj, Kathmandu, Nepal.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Ophthalmologist Services - Nepal Kathmandu</dc:title>
  <dc:creator/>
  <dc:language>en</dc:language>
  <cp:keywords/>
  <dcterms:created xsi:type="dcterms:W3CDTF">2026-10-10T01:22:17Z</dcterms:created>
  <dcterms:modified xsi:type="dcterms:W3CDTF">2026-10-10T01:22:17Z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