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auckland-regional-health-services-ltd."/>
    <w:p>
      <w:pPr>
        <w:pStyle w:val="Heading1"/>
      </w:pPr>
      <w:r>
        <w:t xml:space="preserve">Auckland Regional Health Services Ltd.</w:t>
      </w:r>
    </w:p>
    <w:p>
      <w:pPr>
        <w:pStyle w:val="FirstParagraph"/>
      </w:pPr>
      <w:r>
        <w:t xml:space="preserve">12 K'Road, Ponsonby, Auckland 1011, New Zealand</w:t>
      </w:r>
    </w:p>
    <w:p>
      <w:pPr>
        <w:pStyle w:val="BodyText"/>
      </w:pPr>
      <w:r>
        <w:t xml:space="preserve">Phone: +64 9 376 4521 | Email: procurement@arkhs.co.nz</w:t>
      </w:r>
    </w:p>
    <w:p>
      <w:pPr>
        <w:pStyle w:val="BodyText"/>
      </w:pPr>
      <w:r>
        <w:t xml:space="preserve">Company No. 111234567 | GST No. 942-567-890</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PO-2025-AKL-04872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30 June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New Zealand Dollars (NZD)</w:t>
      </w:r>
    </w:p>
    <w:p>
      <w:pPr>
        <w:pStyle w:val="BodyText"/>
      </w:pPr>
      <w:r>
        <w:rPr>
          <w:bCs/>
          <w:b/>
        </w:rPr>
        <w:t xml:space="preserve">Incoterms:</w:t>
      </w:r>
      <w:r>
        <w:t xml:space="preserve"> </w:t>
      </w:r>
      <w:r>
        <w:t xml:space="preserve">DAP Auckland, New Zealand</w:t>
      </w:r>
    </w:p>
    <w:bookmarkEnd w:id="21"/>
    <w:bookmarkStart w:id="22" w:name="supplier-ophthalmologist-practice"/>
    <w:p>
      <w:pPr>
        <w:pStyle w:val="Heading3"/>
      </w:pPr>
      <w:r>
        <w:t xml:space="preserve">Supplier / Ophthalmologist Practice</w:t>
      </w:r>
    </w:p>
    <w:p>
      <w:pPr>
        <w:pStyle w:val="FirstParagraph"/>
      </w:pPr>
      <w:r>
        <w:rPr>
          <w:bCs/>
          <w:b/>
        </w:rPr>
        <w:t xml:space="preserve">Supplier Name:</w:t>
      </w:r>
      <w:r>
        <w:t xml:space="preserve"> </w:t>
      </w:r>
      <w:r>
        <w:t xml:space="preserve">VisionCare Ophthalmology Group</w:t>
      </w:r>
    </w:p>
    <w:p>
      <w:pPr>
        <w:pStyle w:val="BodyText"/>
      </w:pPr>
      <w:r>
        <w:rPr>
          <w:bCs/>
          <w:b/>
        </w:rPr>
        <w:t xml:space="preserve">Address:</w:t>
      </w:r>
      <w:r>
        <w:t xml:space="preserve"> </w:t>
      </w:r>
      <w:r>
        <w:t xml:space="preserve">45 Victoria Street West, Auckland CBD, Auckland 1010, New Zealand</w:t>
      </w:r>
    </w:p>
    <w:p>
      <w:pPr>
        <w:pStyle w:val="BodyText"/>
      </w:pPr>
      <w:r>
        <w:rPr>
          <w:bCs/>
          <w:b/>
        </w:rPr>
        <w:t xml:space="preserve">Lead Ophthalmologist:</w:t>
      </w:r>
      <w:r>
        <w:t xml:space="preserve"> </w:t>
      </w:r>
      <w:r>
        <w:t xml:space="preserve">Dr. Sarah Mitchell, FRANZCO</w:t>
      </w:r>
    </w:p>
    <w:p>
      <w:pPr>
        <w:pStyle w:val="BodyText"/>
      </w:pPr>
      <w:r>
        <w:rPr>
          <w:bCs/>
          <w:b/>
        </w:rPr>
        <w:t xml:space="preserve">Practice Licence No.:</w:t>
      </w:r>
      <w:r>
        <w:t xml:space="preserve"> </w:t>
      </w:r>
      <w:r>
        <w:t xml:space="preserve">NZMC-OPH-2019-00342</w:t>
      </w:r>
    </w:p>
    <w:p>
      <w:pPr>
        <w:pStyle w:val="BodyText"/>
      </w:pPr>
      <w:r>
        <w:rPr>
          <w:bCs/>
          <w:b/>
        </w:rPr>
        <w:t xml:space="preserve">Phone:</w:t>
      </w:r>
      <w:r>
        <w:t xml:space="preserve"> </w:t>
      </w:r>
      <w:r>
        <w:t xml:space="preserve">+64 9 379 8812</w:t>
      </w:r>
    </w:p>
    <w:p>
      <w:pPr>
        <w:pStyle w:val="BodyText"/>
      </w:pPr>
      <w:r>
        <w:rPr>
          <w:bCs/>
          <w:b/>
        </w:rPr>
        <w:t xml:space="preserve">Email:</w:t>
      </w:r>
      <w:r>
        <w:t xml:space="preserve"> </w:t>
      </w:r>
      <w:r>
        <w:t xml:space="preserve">billing@visioncareophthalmology.co.nz</w:t>
      </w:r>
    </w:p>
    <w:bookmarkEnd w:id="22"/>
    <w:bookmarkStart w:id="24" w:name="Xaba80f787ae2bf47c3873ae950c907958f0661a"/>
    <w:p>
      <w:pPr>
        <w:pStyle w:val="Heading2"/>
      </w:pPr>
      <w:r>
        <w:t xml:space="preserve">Line Items – Ophthalmologist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(NZD)</w:t>
            </w:r>
          </w:p>
        </w:tc>
        <w:tc>
          <w:tcPr/>
          <w:p>
            <w:pPr>
              <w:pStyle w:val="Compact"/>
              <w:jc w:val="left"/>
            </w:pPr>
            <w:r>
              <w:t xml:space="preserve">Total (NZD)</w:t>
            </w:r>
          </w:p>
        </w:tc>
        <w:tc>
          <w:tcPr/>
          <w:p>
            <w:pPr>
              <w:pStyle w:val="Compact"/>
              <w:jc w:val="left"/>
            </w:pPr>
            <w:r>
              <w:t xml:space="preserve">Delivery / Service Date</w:t>
            </w:r>
          </w:p>
        </w:tc>
      </w:tr>
      <w:tr>
        <w:tc>
          <w:tcPr/>
          <w:p>
            <w:pPr>
              <w:pStyle w:val="Compact"/>
              <w:jc w:val="left"/>
            </w:pPr>
            <w:r>
              <w:t xml:space="preserve">1</w:t>
            </w:r>
          </w:p>
        </w:tc>
        <w:tc>
          <w:tcPr/>
          <w:p>
            <w:pPr>
              <w:pStyle w:val="Compact"/>
              <w:jc w:val="left"/>
            </w:pPr>
            <w:r>
              <w:t xml:space="preserve">Comprehensive Ophthalmologist Consultation – Full Diagnostic Eye Examination (including OCT, visual field testing, and anterior segment assessment) for 250 patients</w:t>
            </w:r>
          </w:p>
        </w:tc>
        <w:tc>
          <w:tcPr/>
          <w:p>
            <w:pPr>
              <w:pStyle w:val="Compact"/>
              <w:jc w:val="left"/>
            </w:pPr>
            <w:r>
              <w:t xml:space="preserve">250</w:t>
            </w:r>
          </w:p>
        </w:tc>
        <w:tc>
          <w:tcPr/>
          <w:p>
            <w:pPr>
              <w:pStyle w:val="Compact"/>
              <w:jc w:val="left"/>
            </w:pPr>
            <w:r>
              <w:t xml:space="preserve">$185.00</w:t>
            </w:r>
          </w:p>
        </w:tc>
        <w:tc>
          <w:tcPr/>
          <w:p>
            <w:pPr>
              <w:pStyle w:val="Compact"/>
              <w:jc w:val="left"/>
            </w:pPr>
            <w:r>
              <w:t xml:space="preserve">$46,250.00</w:t>
            </w:r>
          </w:p>
        </w:tc>
        <w:tc>
          <w:tcPr/>
          <w:p>
            <w:pPr>
              <w:pStyle w:val="Compact"/>
              <w:jc w:val="left"/>
            </w:pPr>
            <w:r>
              <w:t xml:space="preserve">1 July – 31 July 2025</w:t>
            </w:r>
          </w:p>
        </w:tc>
      </w:tr>
      <w:tr>
        <w:tc>
          <w:tcPr/>
          <w:p>
            <w:pPr>
              <w:pStyle w:val="Compact"/>
              <w:jc w:val="left"/>
            </w:pPr>
            <w:r>
              <w:t xml:space="preserve">2</w:t>
            </w:r>
          </w:p>
        </w:tc>
        <w:tc>
          <w:tcPr/>
          <w:p>
            <w:pPr>
              <w:pStyle w:val="Compact"/>
              <w:jc w:val="left"/>
            </w:pPr>
            <w:r>
              <w:t xml:space="preserve">Cataract Surgery – Phacoemulsification with Intraocular Lens Implantation, performed by Lead Ophthalmologist Dr. Mitchell at Auckland Private Hospital</w:t>
            </w:r>
          </w:p>
        </w:tc>
        <w:tc>
          <w:tcPr/>
          <w:p>
            <w:pPr>
              <w:pStyle w:val="Compact"/>
              <w:jc w:val="left"/>
            </w:pPr>
            <w:r>
              <w:t xml:space="preserve">40</w:t>
            </w:r>
          </w:p>
        </w:tc>
        <w:tc>
          <w:tcPr/>
          <w:p>
            <w:pPr>
              <w:pStyle w:val="Compact"/>
              <w:jc w:val="left"/>
            </w:pPr>
            <w:r>
              <w:t xml:space="preserve">$3,200.00</w:t>
            </w:r>
          </w:p>
        </w:tc>
        <w:tc>
          <w:tcPr/>
          <w:p>
            <w:pPr>
              <w:pStyle w:val="Compact"/>
              <w:jc w:val="left"/>
            </w:pPr>
            <w:r>
              <w:t xml:space="preserve">$128,000.00</w:t>
            </w:r>
          </w:p>
        </w:tc>
        <w:tc>
          <w:tcPr/>
          <w:p>
            <w:pPr>
              <w:pStyle w:val="Compact"/>
              <w:jc w:val="left"/>
            </w:pPr>
            <w:r>
              <w:t xml:space="preserve">15 July – 28 August 2025</w:t>
            </w:r>
          </w:p>
        </w:tc>
      </w:tr>
      <w:tr>
        <w:tc>
          <w:tcPr/>
          <w:p>
            <w:pPr>
              <w:pStyle w:val="Compact"/>
              <w:jc w:val="left"/>
            </w:pPr>
            <w:r>
              <w:t xml:space="preserve">3</w:t>
            </w:r>
          </w:p>
        </w:tc>
        <w:tc>
          <w:tcPr/>
          <w:p>
            <w:pPr>
              <w:pStyle w:val="Compact"/>
              <w:jc w:val="left"/>
            </w:pPr>
            <w:r>
              <w:t xml:space="preserve">Glaucoma Management Programme – Quarterly monitoring, IOP measurement, and medication review for 120 enrolled patients over 12 months</w:t>
            </w:r>
          </w:p>
        </w:tc>
        <w:tc>
          <w:tcPr/>
          <w:p>
            <w:pPr>
              <w:pStyle w:val="Compact"/>
              <w:jc w:val="left"/>
            </w:pPr>
            <w:r>
              <w:t xml:space="preserve">120</w:t>
            </w:r>
          </w:p>
        </w:tc>
        <w:tc>
          <w:tcPr/>
          <w:p>
            <w:pPr>
              <w:pStyle w:val="Compact"/>
              <w:jc w:val="left"/>
            </w:pPr>
            <w:r>
              <w:t xml:space="preserve">$450.00</w:t>
            </w:r>
          </w:p>
        </w:tc>
        <w:tc>
          <w:tcPr/>
          <w:p>
            <w:pPr>
              <w:pStyle w:val="Compact"/>
              <w:jc w:val="left"/>
            </w:pPr>
            <w:r>
              <w:t xml:space="preserve">$54,000.00</w:t>
            </w:r>
          </w:p>
        </w:tc>
        <w:tc>
          <w:tcPr/>
          <w:p>
            <w:pPr>
              <w:pStyle w:val="Compact"/>
              <w:jc w:val="left"/>
            </w:pPr>
            <w:r>
              <w:t xml:space="preserve">1 July 2025 – 30 June 2026</w:t>
            </w:r>
          </w:p>
        </w:tc>
      </w:tr>
      <w:tr>
        <w:tc>
          <w:tcPr/>
          <w:p>
            <w:pPr>
              <w:pStyle w:val="Compact"/>
              <w:jc w:val="left"/>
            </w:pPr>
            <w:r>
              <w:t xml:space="preserve">4</w:t>
            </w:r>
          </w:p>
        </w:tc>
        <w:tc>
          <w:tcPr/>
          <w:p>
            <w:pPr>
              <w:pStyle w:val="Compact"/>
              <w:jc w:val="left"/>
            </w:pPr>
            <w:r>
              <w:t xml:space="preserve">Retinal Laser Photocoagulation Treatment – Diabetic Retinopathy management, per session</w:t>
            </w:r>
          </w:p>
        </w:tc>
        <w:tc>
          <w:tcPr/>
          <w:p>
            <w:pPr>
              <w:pStyle w:val="Compact"/>
              <w:jc w:val="left"/>
            </w:pPr>
            <w:r>
              <w:t xml:space="preserve">60</w:t>
            </w:r>
          </w:p>
        </w:tc>
        <w:tc>
          <w:tcPr/>
          <w:p>
            <w:pPr>
              <w:pStyle w:val="Compact"/>
              <w:jc w:val="left"/>
            </w:pPr>
            <w:r>
              <w:t xml:space="preserve">$890.00</w:t>
            </w:r>
          </w:p>
        </w:tc>
        <w:tc>
          <w:tcPr/>
          <w:p>
            <w:pPr>
              <w:pStyle w:val="Compact"/>
              <w:jc w:val="left"/>
            </w:pPr>
            <w:r>
              <w:t xml:space="preserve">$53,400.00</w:t>
            </w:r>
          </w:p>
        </w:tc>
        <w:tc>
          <w:tcPr/>
          <w:p>
            <w:pPr>
              <w:pStyle w:val="Compact"/>
              <w:jc w:val="left"/>
            </w:pPr>
            <w:r>
              <w:t xml:space="preserve">1 August – 30 September 2025</w:t>
            </w:r>
          </w:p>
        </w:tc>
      </w:tr>
      <w:tr>
        <w:tc>
          <w:tcPr/>
          <w:p>
            <w:pPr>
              <w:pStyle w:val="Compact"/>
              <w:jc w:val="left"/>
            </w:pPr>
            <w:r>
              <w:t xml:space="preserve">5</w:t>
            </w:r>
          </w:p>
        </w:tc>
        <w:tc>
          <w:tcPr/>
          <w:p>
            <w:pPr>
              <w:pStyle w:val="Compact"/>
              <w:jc w:val="left"/>
            </w:pPr>
            <w:r>
              <w:t xml:space="preserve">Optical Diagnostic Equipment – Topcon iOpulse OCT Scanner (used, refurbished, with 12-month warranty) for Auckland Regional Health Services clinic</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c>
          <w:tcPr/>
          <w:p>
            <w:pPr>
              <w:pStyle w:val="Compact"/>
              <w:jc w:val="left"/>
            </w:pPr>
            <w:r>
              <w:t xml:space="preserve">30 June 2025</w:t>
            </w:r>
          </w:p>
        </w:tc>
      </w:tr>
      <w:tr>
        <w:tc>
          <w:tcPr/>
          <w:p>
            <w:pPr>
              <w:pStyle w:val="Compact"/>
              <w:jc w:val="left"/>
            </w:pPr>
            <w:r>
              <w:t xml:space="preserve">6</w:t>
            </w:r>
          </w:p>
        </w:tc>
        <w:tc>
          <w:tcPr/>
          <w:p>
            <w:pPr>
              <w:pStyle w:val="Compact"/>
              <w:jc w:val="left"/>
            </w:pPr>
            <w:r>
              <w:t xml:space="preserve">Post-Operative Follow-Up Visits by Ophthalmologist – 3 visits per cataract patient (1 week, 1 month, 3 months)</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$11,400.00</w:t>
            </w:r>
          </w:p>
        </w:tc>
        <w:tc>
          <w:tcPr/>
          <w:p>
            <w:pPr>
              <w:pStyle w:val="Compact"/>
              <w:jc w:val="left"/>
            </w:pPr>
            <w:r>
              <w:t xml:space="preserve">August – November 2025</w:t>
            </w:r>
          </w:p>
        </w:tc>
      </w:tr>
      <w:tr>
        <w:tc>
          <w:tcPr/>
          <w:p>
            <w:pPr>
              <w:pStyle w:val="Compact"/>
              <w:jc w:val="left"/>
            </w:pPr>
            <w:r>
              <w:t xml:space="preserve">7</w:t>
            </w:r>
          </w:p>
        </w:tc>
        <w:tc>
          <w:tcPr/>
          <w:p>
            <w:pPr>
              <w:pStyle w:val="Compact"/>
              <w:jc w:val="left"/>
            </w:pPr>
            <w:r>
              <w:t xml:space="preserve">Emergency Ophthalmologist On-Call Service – 24/7 coverage for Auckland Regional Health Services, 12-month contract</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$33,600.00</w:t>
            </w:r>
          </w:p>
        </w:tc>
        <w:tc>
          <w:tcPr/>
          <w:p>
            <w:pPr>
              <w:pStyle w:val="Compact"/>
              <w:jc w:val="left"/>
            </w:pPr>
            <w:r>
              <w:t xml:space="preserve">1 July 2025 – 30 June 2026</w:t>
            </w:r>
          </w:p>
        </w:tc>
      </w:tr>
    </w:tbl>
    <w:p>
      <w:pPr>
        <w:pStyle w:val="BodyText"/>
      </w:pPr>
      <w:r>
        <w:t xml:space="preserve">Subtotal: $369,150.00 NZD</w:t>
      </w:r>
    </w:p>
    <w:p>
      <w:pPr>
        <w:pStyle w:val="BodyText"/>
      </w:pPr>
      <w:r>
        <w:t xml:space="preserve">GST (15%): $55,372.50 NZD</w:t>
      </w:r>
    </w:p>
    <w:p>
      <w:pPr>
        <w:pStyle w:val="BodyText"/>
      </w:pPr>
      <w:r>
        <w:t xml:space="preserve">Grand Total: $424,522.50 NZD</w:t>
      </w:r>
    </w:p>
    <w:p>
      <w:pPr>
        <w:pStyle w:val="BodyText"/>
      </w:pPr>
      <w:r>
        <w:rPr>
          <w:bCs/>
          <w:b/>
        </w:rPr>
        <w:t xml:space="preserve">Note:</w:t>
      </w:r>
      <w:r>
        <w:t xml:space="preserve"> </w:t>
      </w:r>
      <w:r>
        <w:t xml:space="preserve">This Purchase Order is issued in accordance with the Health and Disability Services (Complaints) Act 1993 and all applicable New Zealand Auckland regional health procurement guidelines. All Ophthalmologist services referenced herein must be delivered by practitioners registered with the Medical Council of New Zealand and holding current FRANZCO or equivalent ophthalmology accreditation. Equipment delivery to the Auckland facility must comply with local council regulations for medical device importation and installation.</w:t>
      </w:r>
    </w:p>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constitutes a binding agreement between Auckland Regional Health Services Ltd. (the "Purchaser") and VisionCare Ophthalmology Group (the "Ophthalmologist Supplier") for the provision of ophthalmic services and medical equipment as detailed above.</w:t>
      </w:r>
    </w:p>
    <w:p>
      <w:pPr>
        <w:numPr>
          <w:ilvl w:val="0"/>
          <w:numId w:val="1001"/>
        </w:numPr>
        <w:pStyle w:val="Compact"/>
      </w:pPr>
      <w:r>
        <w:t xml:space="preserve">All Ophthalmologist services shall be rendered in accordance with the standards set by the Royal Australasian College of Ophthalmologists (RANZCO) and the Medical Council of New Zealand. The Lead Ophthalmologist, Dr. Sarah Mitchell, or a suitably qualified associate, shall supervise all clinical procedures.</w:t>
      </w:r>
    </w:p>
    <w:p>
      <w:pPr>
        <w:numPr>
          <w:ilvl w:val="0"/>
          <w:numId w:val="1001"/>
        </w:numPr>
        <w:pStyle w:val="Compact"/>
      </w:pPr>
      <w:r>
        <w:t xml:space="preserve">Payment shall be made within thirty (30) calendar days of receipt of a valid tax invoice from the Ophthalmologist Supplier. Invoices must include the supplier's New Zealand GST number and reference this Purchase Order number (PO-2025-AKL-04872).</w:t>
      </w:r>
    </w:p>
    <w:p>
      <w:pPr>
        <w:numPr>
          <w:ilvl w:val="0"/>
          <w:numId w:val="1001"/>
        </w:numPr>
        <w:pStyle w:val="Compact"/>
      </w:pPr>
      <w:r>
        <w:t xml:space="preserve">The Ophthalmologist Supplier warrants that all services will be performed in a safe, sterile, and clinically appropriate environment within the Auckland metropolitan area, in compliance with the Health and Safety at Work Act 2015 (New Zealand).</w:t>
      </w:r>
    </w:p>
    <w:p>
      <w:pPr>
        <w:numPr>
          <w:ilvl w:val="0"/>
          <w:numId w:val="1001"/>
        </w:numPr>
        <w:pStyle w:val="Compact"/>
      </w:pPr>
      <w:r>
        <w:t xml:space="preserve">Any variation to the scope, quantity, or timing of services under this Purchase Order must be agreed in writing by both parties prior to execution. Unauthorised variations will not be accepted for payment.</w:t>
      </w:r>
    </w:p>
    <w:p>
      <w:pPr>
        <w:numPr>
          <w:ilvl w:val="0"/>
          <w:numId w:val="1001"/>
        </w:numPr>
        <w:pStyle w:val="Compact"/>
      </w:pPr>
      <w:r>
        <w:t xml:space="preserve">The Ophthalmologist Supplier shall maintain professional indemnity insurance of no less than NZD $10,000,000 per claim and public liability insurance of no less than NZD $20,000,000 for the duration of this Purchase Order.</w:t>
      </w:r>
    </w:p>
    <w:p>
      <w:pPr>
        <w:numPr>
          <w:ilvl w:val="0"/>
          <w:numId w:val="1001"/>
        </w:numPr>
        <w:pStyle w:val="Compact"/>
      </w:pPr>
      <w:r>
        <w:t xml:space="preserve">Confidentiality of all patient records and clinical data is governed by the Health Information Privacy Code 1994 (New Zealand). The Ophthalmologist Supplier shall not disclose patient information to any third party without written consent from the patient or as required by law.</w:t>
      </w:r>
    </w:p>
    <w:p>
      <w:pPr>
        <w:numPr>
          <w:ilvl w:val="0"/>
          <w:numId w:val="1001"/>
        </w:numPr>
        <w:pStyle w:val="Compact"/>
      </w:pPr>
      <w:r>
        <w:t xml:space="preserve">Delivery of the Topcon iOpulse OCT Scanner (Line Item 5) shall be made to the Auckland Regional Health Services facility at 12 K'Road, Ponsonby, Auckland 1011. Installation, calibration, and staff training shall be completed within five (5) business days of delivery. Risk passes to the Purchaser upon signed delivery receipt.</w:t>
      </w:r>
    </w:p>
    <w:p>
      <w:pPr>
        <w:numPr>
          <w:ilvl w:val="0"/>
          <w:numId w:val="1001"/>
        </w:numPr>
        <w:pStyle w:val="Compact"/>
      </w:pPr>
      <w:r>
        <w:t xml:space="preserve">In the event of breach of this Purchase Order by either party, the non-breaching party may terminate with fourteen (14) days' written notice. The Ophthalmologist Supplier shall refund any pre-paid amounts for services not yet rendered.</w:t>
      </w:r>
    </w:p>
    <w:p>
      <w:pPr>
        <w:numPr>
          <w:ilvl w:val="0"/>
          <w:numId w:val="1001"/>
        </w:numPr>
        <w:pStyle w:val="Compact"/>
      </w:pPr>
      <w:r>
        <w:t xml:space="preserve">This Purchase Order is governed by the laws of New Zealand. Any disputes shall be resolved through the Disputes Tribunal of New Zealand or, where the amount exceeds NZD $50,000, through the District Court in Auckland.</w:t>
      </w:r>
    </w:p>
    <w:p>
      <w:pPr>
        <w:numPr>
          <w:ilvl w:val="0"/>
          <w:numId w:val="1001"/>
        </w:numPr>
        <w:pStyle w:val="Compact"/>
      </w:pPr>
      <w:r>
        <w:t xml:space="preserve">All communications regarding this Purchase Order shall be directed to the Procurement Officer at Auckland Regional Health Services Ltd., Auckland, New Zealand, via the email address specified in the header of this document.</w:t>
      </w:r>
    </w:p>
    <w:bookmarkEnd w:id="23"/>
    <w:p>
      <w:pPr>
        <w:pStyle w:val="FirstParagraph"/>
      </w:pPr>
      <w:r>
        <w:rPr>
          <w:bCs/>
          <w:b/>
        </w:rPr>
        <w:t xml:space="preserve">Authorised by (Purchaser):</w:t>
      </w:r>
    </w:p>
    <w:p>
      <w:pPr>
        <w:pStyle w:val="BodyText"/>
      </w:pPr>
      <w:r>
        <w:t xml:space="preserve">Name: James T. Walker</w:t>
      </w:r>
    </w:p>
    <w:p>
      <w:pPr>
        <w:pStyle w:val="BodyText"/>
      </w:pPr>
      <w:r>
        <w:t xml:space="preserve">Title: Chief Procurement Officer</w:t>
      </w:r>
    </w:p>
    <w:p>
      <w:pPr>
        <w:pStyle w:val="BodyText"/>
      </w:pPr>
      <w:r>
        <w:t xml:space="preserve">Auckland Regional Health Services Ltd.</w:t>
      </w:r>
    </w:p>
    <w:p>
      <w:pPr>
        <w:pStyle w:val="BodyText"/>
      </w:pPr>
      <w:r>
        <w:t xml:space="preserve">Signature: ___________________________</w:t>
      </w:r>
    </w:p>
    <w:p>
      <w:pPr>
        <w:pStyle w:val="BodyText"/>
      </w:pPr>
      <w:r>
        <w:t xml:space="preserve">Date: 14 June 2025</w:t>
      </w:r>
    </w:p>
    <w:p>
      <w:pPr>
        <w:pStyle w:val="BodyText"/>
      </w:pPr>
      <w:r>
        <w:rPr>
          <w:bCs/>
          <w:b/>
        </w:rPr>
        <w:t xml:space="preserve">Accepted by (Ophthalmologist Supplier):</w:t>
      </w:r>
    </w:p>
    <w:p>
      <w:pPr>
        <w:pStyle w:val="BodyText"/>
      </w:pPr>
      <w:r>
        <w:t xml:space="preserve">Name: Dr. Sarah Mitchell, FRANZCO</w:t>
      </w:r>
    </w:p>
    <w:p>
      <w:pPr>
        <w:pStyle w:val="BodyText"/>
      </w:pPr>
      <w:r>
        <w:t xml:space="preserve">Title: Lead Ophthalmologist / Practice Director</w:t>
      </w:r>
    </w:p>
    <w:p>
      <w:pPr>
        <w:pStyle w:val="BodyText"/>
      </w:pPr>
      <w:r>
        <w:t xml:space="preserve">VisionCare Ophthalmology Group, Auckland</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(PO-2025-AKL-04872) was issued by Auckland Regional Health Services Ltd., Auckland, New Zealand. This document is valid for acceptance within fourteen (14) calendar days of the issue date. For queries regarding this Purchase Order or the Ophthalmologist services listed, contact the Procurement Department at procurement@arkhs.co.nz. All amounts are in New Zealand Dollars (NZD) inclusive of applicable GST at 15%.</w:t>
      </w:r>
    </w:p>
    <w:p>
      <w:pPr>
        <w:pStyle w:val="BodyText"/>
      </w:pPr>
      <w:r>
        <w:t xml:space="preserve">© 2025 Auckland Regional Health Services Ltd. All rights reserved. New Zealand Auckland.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New Zealand Auckland</dc:title>
  <dc:creator/>
  <dc:language>en</dc:language>
  <cp:keywords/>
  <dcterms:created xsi:type="dcterms:W3CDTF">2026-10-10T06:32:52Z</dcterms:created>
  <dcterms:modified xsi:type="dcterms:W3CDTF">2026-10-10T06:32:52Z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