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Ophthalmology</w:t>
      </w:r>
      <w:r>
        <w:t xml:space="preserve"> </w:t>
      </w:r>
      <w:r>
        <w:t xml:space="preserve">Services</w:t>
      </w:r>
      <w:r>
        <w:t xml:space="preserve"> </w:t>
      </w:r>
      <w:r>
        <w:t xml:space="preserve">-</w:t>
      </w:r>
      <w:r>
        <w:t xml:space="preserve"> </w:t>
      </w:r>
      <w:r>
        <w:t xml:space="preserve">Turkey</w:t>
      </w:r>
      <w:r>
        <w:t xml:space="preserve"> </w:t>
      </w:r>
      <w:r>
        <w:t xml:space="preserve">Istanbul</w:t>
      </w:r>
    </w:p>
    <w:bookmarkStart w:id="20" w:name="purchase-order"/>
    <w:p>
      <w:pPr>
        <w:pStyle w:val="Heading1"/>
      </w:pPr>
      <w:r>
        <w:t xml:space="preserve">PURCHASE ORDER</w:t>
      </w:r>
    </w:p>
    <w:p>
      <w:pPr>
        <w:pStyle w:val="FirstParagraph"/>
      </w:pPr>
      <w:r>
        <w:rPr>
          <w:bCs/>
          <w:b/>
        </w:rPr>
        <w:t xml:space="preserve">Meridian Ophthalmology Group A.Ş.</w:t>
      </w:r>
    </w:p>
    <w:p>
      <w:pPr>
        <w:pStyle w:val="BodyText"/>
      </w:pPr>
      <w:r>
        <w:t xml:space="preserve">Address: Büyükdere Caddesi No. 128, 34450 Esenyurt, Istanbul, Turkey</w:t>
      </w:r>
    </w:p>
    <w:p>
      <w:pPr>
        <w:pStyle w:val="BodyText"/>
      </w:pPr>
      <w:r>
        <w:t xml:space="preserve">Tax ID (VKN): 1234567890 | Phone: +90 212 555 0147 | Email: procurement@meridianophthalmology.com.tr</w:t>
      </w:r>
    </w:p>
    <w:bookmarkEnd w:id="20"/>
    <w:p>
      <w:pPr>
        <w:pStyle w:val="BodyText"/>
      </w:pPr>
      <w:r>
        <w:rPr>
          <w:bCs/>
          <w:b/>
        </w:rPr>
        <w:t xml:space="preserve">Purchase Order No.:</w:t>
      </w:r>
      <w:r>
        <w:t xml:space="preserve"> </w:t>
      </w:r>
      <w:r>
        <w:t xml:space="preserve">PO-2025-IST-0487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Supplier:</w:t>
      </w:r>
      <w:r>
        <w:t xml:space="preserve"> </w:t>
      </w:r>
      <w:r>
        <w:t xml:space="preserve">OptiVision Medical Supplies Ltd.</w:t>
      </w:r>
      <w:r>
        <w:br/>
      </w:r>
      <w:r>
        <w:rPr>
          <w:bCs/>
          <w:b/>
        </w:rPr>
        <w:t xml:space="preserve">Supplier Address:</w:t>
      </w:r>
      <w:r>
        <w:t xml:space="preserve"> </w:t>
      </w:r>
      <w:r>
        <w:t xml:space="preserve">Maslak Mah. Büyükdere Cad. No. 45, 34450 Sarıyer, Istanbul, Turkey</w:t>
      </w:r>
      <w:r>
        <w:br/>
      </w:r>
      <w:r>
        <w:rPr>
          <w:bCs/>
          <w:b/>
        </w:rPr>
        <w:t xml:space="preserve">Supplier Tax ID:</w:t>
      </w:r>
      <w:r>
        <w:t xml:space="preserve"> </w:t>
      </w:r>
      <w:r>
        <w:t xml:space="preserve">9876543210</w:t>
      </w:r>
    </w:p>
    <w:p>
      <w:pPr>
        <w:pStyle w:val="BodyText"/>
      </w:pPr>
      <w:r>
        <w:rPr>
          <w:bCs/>
          <w:b/>
        </w:rPr>
        <w:t xml:space="preserve">Delivery Location:</w:t>
      </w:r>
      <w:r>
        <w:t xml:space="preserve"> </w:t>
      </w:r>
      <w:r>
        <w:t xml:space="preserve">Meridian Ophthalmology Clinic, Kadıköy, Istanbul, Turkey</w:t>
      </w:r>
      <w:r>
        <w:br/>
      </w:r>
      <w:r>
        <w:rPr>
          <w:bCs/>
          <w:b/>
        </w:rPr>
        <w:t xml:space="preserve">Delivery Date:</w:t>
      </w:r>
      <w:r>
        <w:t xml:space="preserve"> </w:t>
      </w:r>
      <w:r>
        <w:t xml:space="preserve">05 July 2025</w:t>
      </w:r>
      <w:r>
        <w:br/>
      </w:r>
      <w:r>
        <w:rPr>
          <w:bCs/>
          <w:b/>
        </w:rPr>
        <w:t xml:space="preserve">Incoterms:</w:t>
      </w:r>
      <w:r>
        <w:t xml:space="preserve"> </w:t>
      </w:r>
      <w:r>
        <w:t xml:space="preserve">DDP Istanbul</w:t>
      </w:r>
    </w:p>
    <w:p>
      <w:pPr>
        <w:pStyle w:val="BodyText"/>
      </w:pPr>
      <w:r>
        <w:t xml:space="preserve">1. Purpose and Scope of This Purchase Order</w:t>
      </w:r>
    </w:p>
    <w:p>
      <w:pPr>
        <w:pStyle w:val="BodyText"/>
      </w:pPr>
      <w:r>
        <w:t xml:space="preserve">This Purchase Order is issued by Meridian Ophthalmology Group A.Ş., a licensed ophthalmology practice operating in Turkey Istanbul, to procure specialized medical equipment, consumables, and professional services required for the continued operation of our Ophthalmologist-led diagnostic and surgical departments. This Purchase Order governs the acquisition of items and services specifically tailored to the clinical needs of our Ophthalmologist team, who provide comprehensive eye care ranging from routine refraction examinations to advanced cataract surgery, retinal laser procedures, and corneal transplant operations. All goods and services referenced in this Purchase Order shall be delivered to our facility located in the Kadıköy district of Turkey Istanbul, in full compliance with the Turkish Ministry of Health regulations and the standards set forth by the Turkish Ophthalmology Society (TOD).</w:t>
      </w:r>
    </w:p>
    <w:p>
      <w:pPr>
        <w:pStyle w:val="BodyText"/>
      </w:pPr>
      <w:r>
        <w:t xml:space="preserve">2. Itemized Purchase Order Details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Description of Goods /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(TRY)</w:t>
            </w:r>
          </w:p>
        </w:tc>
        <w:tc>
          <w:tcPr/>
          <w:p>
            <w:pPr>
              <w:pStyle w:val="Compact"/>
              <w:jc w:val="left"/>
            </w:pPr>
            <w:r>
              <w:t xml:space="preserve">Total (TRY)</w:t>
            </w:r>
          </w:p>
        </w:tc>
        <w:tc>
          <w:tcPr/>
          <w:p>
            <w:pPr>
              <w:pStyle w:val="Compact"/>
              <w:jc w:val="left"/>
            </w:pPr>
            <w:r>
              <w:t xml:space="preserve">Delivery</w:t>
            </w:r>
          </w:p>
        </w:tc>
      </w:tr>
      <w:tr>
        <w:tc>
          <w:tcPr/>
          <w:p>
            <w:pPr>
              <w:pStyle w:val="Compact"/>
              <w:jc w:val="left"/>
            </w:pPr>
            <w:r>
              <w:t xml:space="preserve">1</w:t>
            </w:r>
          </w:p>
        </w:tc>
        <w:tc>
          <w:tcPr/>
          <w:p>
            <w:pPr>
              <w:pStyle w:val="Compact"/>
              <w:jc w:val="left"/>
            </w:pPr>
            <w:r>
              <w:t xml:space="preserve">Zeiss Visumax 800 Femtosecond Laser System – Ophthalmologist surgical unit for LASIK and SMILE procedures, including installation and calibration by certified Ophthalmologist technicians</w:t>
            </w:r>
          </w:p>
        </w:tc>
        <w:tc>
          <w:tcPr/>
          <w:p>
            <w:pPr>
              <w:pStyle w:val="Compact"/>
              <w:jc w:val="left"/>
            </w:pPr>
            <w:r>
              <w:t xml:space="preserve">1</w:t>
            </w:r>
          </w:p>
        </w:tc>
        <w:tc>
          <w:tcPr/>
          <w:p>
            <w:pPr>
              <w:pStyle w:val="Compact"/>
              <w:jc w:val="left"/>
            </w:pPr>
            <w:r>
              <w:t xml:space="preserve">Unit</w:t>
            </w:r>
          </w:p>
        </w:tc>
        <w:tc>
          <w:tcPr/>
          <w:p>
            <w:pPr>
              <w:pStyle w:val="Compact"/>
              <w:jc w:val="left"/>
            </w:pPr>
            <w:r>
              <w:t xml:space="preserve">2,850,000.00</w:t>
            </w:r>
          </w:p>
        </w:tc>
        <w:tc>
          <w:tcPr/>
          <w:p>
            <w:pPr>
              <w:pStyle w:val="Compact"/>
              <w:jc w:val="left"/>
            </w:pPr>
            <w:r>
              <w:t xml:space="preserve">2,850,000.00</w:t>
            </w:r>
          </w:p>
        </w:tc>
        <w:tc>
          <w:tcPr/>
          <w:p>
            <w:pPr>
              <w:pStyle w:val="Compact"/>
              <w:jc w:val="left"/>
            </w:pPr>
            <w:r>
              <w:t xml:space="preserve">05 Jul 2025</w:t>
            </w:r>
          </w:p>
        </w:tc>
      </w:tr>
      <w:tr>
        <w:tc>
          <w:tcPr/>
          <w:p>
            <w:pPr>
              <w:pStyle w:val="Compact"/>
              <w:jc w:val="left"/>
            </w:pPr>
            <w:r>
              <w:t xml:space="preserve">2</w:t>
            </w:r>
          </w:p>
        </w:tc>
        <w:tc>
          <w:tcPr/>
          <w:p>
            <w:pPr>
              <w:pStyle w:val="Compact"/>
              <w:jc w:val="left"/>
            </w:pPr>
            <w:r>
              <w:t xml:space="preserve">Topcon TRC-NW7S Non-Mydriatic Fundus Camera for Ophthalmologist retinal imaging and diabetic retinopathy screening</w:t>
            </w:r>
          </w:p>
        </w:tc>
        <w:tc>
          <w:tcPr/>
          <w:p>
            <w:pPr>
              <w:pStyle w:val="Compact"/>
              <w:jc w:val="left"/>
            </w:pPr>
            <w:r>
              <w:t xml:space="preserve">2</w:t>
            </w:r>
          </w:p>
        </w:tc>
        <w:tc>
          <w:tcPr/>
          <w:p>
            <w:pPr>
              <w:pStyle w:val="Compact"/>
              <w:jc w:val="left"/>
            </w:pPr>
            <w:r>
              <w:t xml:space="preserve">Unit</w:t>
            </w:r>
          </w:p>
        </w:tc>
        <w:tc>
          <w:tcPr/>
          <w:p>
            <w:pPr>
              <w:pStyle w:val="Compact"/>
              <w:jc w:val="left"/>
            </w:pPr>
            <w:r>
              <w:t xml:space="preserve">485,000.00</w:t>
            </w:r>
          </w:p>
        </w:tc>
        <w:tc>
          <w:tcPr/>
          <w:p>
            <w:pPr>
              <w:pStyle w:val="Compact"/>
              <w:jc w:val="left"/>
            </w:pPr>
            <w:r>
              <w:t xml:space="preserve">970,000.00</w:t>
            </w:r>
          </w:p>
        </w:tc>
        <w:tc>
          <w:tcPr/>
          <w:p>
            <w:pPr>
              <w:pStyle w:val="Compact"/>
              <w:jc w:val="left"/>
            </w:pPr>
            <w:r>
              <w:t xml:space="preserve">05 Jul 2025</w:t>
            </w:r>
          </w:p>
        </w:tc>
      </w:tr>
      <w:tr>
        <w:tc>
          <w:tcPr/>
          <w:p>
            <w:pPr>
              <w:pStyle w:val="Compact"/>
              <w:jc w:val="left"/>
            </w:pPr>
            <w:r>
              <w:t xml:space="preserve">3</w:t>
            </w:r>
          </w:p>
        </w:tc>
        <w:tc>
          <w:tcPr/>
          <w:p>
            <w:pPr>
              <w:pStyle w:val="Compact"/>
              <w:jc w:val="left"/>
            </w:pPr>
            <w:r>
              <w:t xml:space="preserve">Alcon Centurion Phacoemulsification System – Ophthalmologist cataract surgery platform with 30-day warranty and operator training for our Ophthalmologist staff</w:t>
            </w:r>
          </w:p>
        </w:tc>
        <w:tc>
          <w:tcPr/>
          <w:p>
            <w:pPr>
              <w:pStyle w:val="Compact"/>
              <w:jc w:val="left"/>
            </w:pPr>
            <w:r>
              <w:t xml:space="preserve">1</w:t>
            </w:r>
          </w:p>
        </w:tc>
        <w:tc>
          <w:tcPr/>
          <w:p>
            <w:pPr>
              <w:pStyle w:val="Compact"/>
              <w:jc w:val="left"/>
            </w:pPr>
            <w:r>
              <w:t xml:space="preserve">Unit</w:t>
            </w:r>
          </w:p>
        </w:tc>
        <w:tc>
          <w:tcPr/>
          <w:p>
            <w:pPr>
              <w:pStyle w:val="Compact"/>
              <w:jc w:val="left"/>
            </w:pPr>
            <w:r>
              <w:t xml:space="preserve">1,200,000.00</w:t>
            </w:r>
          </w:p>
        </w:tc>
        <w:tc>
          <w:tcPr/>
          <w:p>
            <w:pPr>
              <w:pStyle w:val="Compact"/>
              <w:jc w:val="left"/>
            </w:pPr>
            <w:r>
              <w:t xml:space="preserve">1,200,000.00</w:t>
            </w:r>
          </w:p>
        </w:tc>
        <w:tc>
          <w:tcPr/>
          <w:p>
            <w:pPr>
              <w:pStyle w:val="Compact"/>
              <w:jc w:val="left"/>
            </w:pPr>
            <w:r>
              <w:t xml:space="preserve">10 Jul 2025</w:t>
            </w:r>
          </w:p>
        </w:tc>
      </w:tr>
      <w:tr>
        <w:tc>
          <w:tcPr/>
          <w:p>
            <w:pPr>
              <w:pStyle w:val="Compact"/>
              <w:jc w:val="left"/>
            </w:pPr>
            <w:r>
              <w:t xml:space="preserve">4</w:t>
            </w:r>
          </w:p>
        </w:tc>
        <w:tc>
          <w:tcPr/>
          <w:p>
            <w:pPr>
              <w:pStyle w:val="Compact"/>
              <w:jc w:val="left"/>
            </w:pPr>
            <w:r>
              <w:t xml:space="preserve">Acuvue Oasys 1-Day Multifocal Contact Lenses (Box of 30) – for Ophthalmologist patient fitting and post-operative use</w:t>
            </w:r>
          </w:p>
        </w:tc>
        <w:tc>
          <w:tcPr/>
          <w:p>
            <w:pPr>
              <w:pStyle w:val="Compact"/>
              <w:jc w:val="left"/>
            </w:pPr>
            <w:r>
              <w:t xml:space="preserve">200</w:t>
            </w:r>
          </w:p>
        </w:tc>
        <w:tc>
          <w:tcPr/>
          <w:p>
            <w:pPr>
              <w:pStyle w:val="Compact"/>
              <w:jc w:val="left"/>
            </w:pPr>
            <w:r>
              <w:t xml:space="preserve">Box</w:t>
            </w:r>
          </w:p>
        </w:tc>
        <w:tc>
          <w:tcPr/>
          <w:p>
            <w:pPr>
              <w:pStyle w:val="Compact"/>
              <w:jc w:val="left"/>
            </w:pPr>
            <w:r>
              <w:t xml:space="preserve">1,850.00</w:t>
            </w:r>
          </w:p>
        </w:tc>
        <w:tc>
          <w:tcPr/>
          <w:p>
            <w:pPr>
              <w:pStyle w:val="Compact"/>
              <w:jc w:val="left"/>
            </w:pPr>
            <w:r>
              <w:t xml:space="preserve">370,000.00</w:t>
            </w:r>
          </w:p>
        </w:tc>
        <w:tc>
          <w:tcPr/>
          <w:p>
            <w:pPr>
              <w:pStyle w:val="Compact"/>
              <w:jc w:val="left"/>
            </w:pPr>
            <w:r>
              <w:t xml:space="preserve">05 Jul 2025</w:t>
            </w:r>
          </w:p>
        </w:tc>
      </w:tr>
      <w:tr>
        <w:tc>
          <w:tcPr/>
          <w:p>
            <w:pPr>
              <w:pStyle w:val="Compact"/>
              <w:jc w:val="left"/>
            </w:pPr>
            <w:r>
              <w:t xml:space="preserve">5</w:t>
            </w:r>
          </w:p>
        </w:tc>
        <w:tc>
          <w:tcPr/>
          <w:p>
            <w:pPr>
              <w:pStyle w:val="Compact"/>
              <w:jc w:val="left"/>
            </w:pPr>
            <w:r>
              <w:t xml:space="preserve">Visine Advanced Eye Drops 15ml (Antibacterial) – Ophthalmologist post-surgical care consumable</w:t>
            </w:r>
          </w:p>
        </w:tc>
        <w:tc>
          <w:tcPr/>
          <w:p>
            <w:pPr>
              <w:pStyle w:val="Compact"/>
              <w:jc w:val="left"/>
            </w:pPr>
            <w:r>
              <w:t xml:space="preserve">500</w:t>
            </w:r>
          </w:p>
        </w:tc>
        <w:tc>
          <w:tcPr/>
          <w:p>
            <w:pPr>
              <w:pStyle w:val="Compact"/>
              <w:jc w:val="left"/>
            </w:pPr>
            <w:r>
              <w:t xml:space="preserve">Bottle</w:t>
            </w:r>
          </w:p>
        </w:tc>
        <w:tc>
          <w:tcPr/>
          <w:p>
            <w:pPr>
              <w:pStyle w:val="Compact"/>
              <w:jc w:val="left"/>
            </w:pPr>
            <w:r>
              <w:t xml:space="preserve">120.00</w:t>
            </w:r>
          </w:p>
        </w:tc>
        <w:tc>
          <w:tcPr/>
          <w:p>
            <w:pPr>
              <w:pStyle w:val="Compact"/>
              <w:jc w:val="left"/>
            </w:pPr>
            <w:r>
              <w:t xml:space="preserve">60,000.00</w:t>
            </w:r>
          </w:p>
        </w:tc>
        <w:tc>
          <w:tcPr/>
          <w:p>
            <w:pPr>
              <w:pStyle w:val="Compact"/>
              <w:jc w:val="left"/>
            </w:pPr>
            <w:r>
              <w:t xml:space="preserve">05 Jul 2025</w:t>
            </w:r>
          </w:p>
        </w:tc>
      </w:tr>
      <w:tr>
        <w:tc>
          <w:tcPr/>
          <w:p>
            <w:pPr>
              <w:pStyle w:val="Compact"/>
              <w:jc w:val="left"/>
            </w:pPr>
            <w:r>
              <w:t xml:space="preserve">6</w:t>
            </w:r>
          </w:p>
        </w:tc>
        <w:tc>
          <w:tcPr/>
          <w:p>
            <w:pPr>
              <w:pStyle w:val="Compact"/>
              <w:jc w:val="left"/>
            </w:pPr>
            <w:r>
              <w:t xml:space="preserve">Annual Preventive Maintenance Contract for all Ophthalmologist diagnostic and surgical equipment installed in our Turkey Istanbul facility</w:t>
            </w:r>
          </w:p>
        </w:tc>
        <w:tc>
          <w:tcPr/>
          <w:p>
            <w:pPr>
              <w:pStyle w:val="Compact"/>
              <w:jc w:val="left"/>
            </w:pPr>
            <w:r>
              <w:t xml:space="preserve">1</w:t>
            </w:r>
          </w:p>
        </w:tc>
        <w:tc>
          <w:tcPr/>
          <w:p>
            <w:pPr>
              <w:pStyle w:val="Compact"/>
              <w:jc w:val="left"/>
            </w:pPr>
            <w:r>
              <w:t xml:space="preserve">Year</w:t>
            </w:r>
          </w:p>
        </w:tc>
        <w:tc>
          <w:tcPr/>
          <w:p>
            <w:pPr>
              <w:pStyle w:val="Compact"/>
              <w:jc w:val="left"/>
            </w:pPr>
            <w:r>
              <w:t xml:space="preserve">185,000.00</w:t>
            </w:r>
          </w:p>
        </w:tc>
        <w:tc>
          <w:tcPr/>
          <w:p>
            <w:pPr>
              <w:pStyle w:val="Compact"/>
              <w:jc w:val="left"/>
            </w:pPr>
            <w:r>
              <w:t xml:space="preserve">185,000.00</w:t>
            </w:r>
          </w:p>
        </w:tc>
        <w:tc>
          <w:tcPr/>
          <w:p>
            <w:pPr>
              <w:pStyle w:val="Compact"/>
              <w:jc w:val="left"/>
            </w:pPr>
            <w:r>
              <w:t xml:space="preserve">Ongoing</w:t>
            </w:r>
          </w:p>
        </w:tc>
      </w:tr>
      <w:tr>
        <w:tc>
          <w:tcPr/>
          <w:p>
            <w:pPr>
              <w:pStyle w:val="Compact"/>
              <w:jc w:val="left"/>
            </w:pPr>
            <w:r>
              <w:t xml:space="preserve">7</w:t>
            </w:r>
          </w:p>
        </w:tc>
        <w:tc>
          <w:tcPr/>
          <w:p>
            <w:pPr>
              <w:pStyle w:val="Compact"/>
              <w:jc w:val="left"/>
            </w:pPr>
            <w:r>
              <w:t xml:space="preserve">Continuing Medical Education (CME) Subscription – Turkish Ophthalmology Society annual membership and access to Ophthalmologist conference proceedings in Istanbul</w:t>
            </w:r>
          </w:p>
        </w:tc>
        <w:tc>
          <w:tcPr/>
          <w:p>
            <w:pPr>
              <w:pStyle w:val="Compact"/>
              <w:jc w:val="left"/>
            </w:pPr>
            <w:r>
              <w:t xml:space="preserve">8</w:t>
            </w:r>
          </w:p>
        </w:tc>
        <w:tc>
          <w:tcPr/>
          <w:p>
            <w:pPr>
              <w:pStyle w:val="Compact"/>
              <w:jc w:val="left"/>
            </w:pPr>
            <w:r>
              <w:t xml:space="preserve">Membership</w:t>
            </w:r>
          </w:p>
        </w:tc>
        <w:tc>
          <w:tcPr/>
          <w:p>
            <w:pPr>
              <w:pStyle w:val="Compact"/>
              <w:jc w:val="left"/>
            </w:pPr>
            <w:r>
              <w:t xml:space="preserve">4,500.00</w:t>
            </w:r>
          </w:p>
        </w:tc>
        <w:tc>
          <w:tcPr/>
          <w:p>
            <w:pPr>
              <w:pStyle w:val="Compact"/>
              <w:jc w:val="left"/>
            </w:pPr>
            <w:r>
              <w:t xml:space="preserve">36,000.00</w:t>
            </w:r>
          </w:p>
        </w:tc>
        <w:tc>
          <w:tcPr/>
          <w:p>
            <w:pPr>
              <w:pStyle w:val="Compact"/>
              <w:jc w:val="left"/>
            </w:pPr>
            <w:r>
              <w:t xml:space="preserve">Immediate</w:t>
            </w:r>
          </w:p>
        </w:tc>
      </w:tr>
      <w:tr>
        <w:tc>
          <w:tcPr>
            <w:gridSpan w:val="5"/>
          </w:tcPr>
          <w:p>
            <w:pPr>
              <w:pStyle w:val="Compact"/>
              <w:jc w:val="right"/>
            </w:pPr>
            <w:r>
              <w:t xml:space="preserve">SUBTOTAL (TRY)</w:t>
            </w:r>
          </w:p>
        </w:tc>
        <w:tc>
          <w:tcPr/>
          <w:p>
            <w:pPr>
              <w:pStyle w:val="Compact"/>
              <w:jc w:val="left"/>
            </w:pPr>
            <w:r>
              <w:t xml:space="preserve">5,671,000.00</w:t>
            </w:r>
          </w:p>
        </w:tc>
        <w:tc>
          <w:tcPr/>
          <w:p>
            <w:pPr>
              <w:pStyle w:val="Compact"/>
            </w:pPr>
          </w:p>
        </w:tc>
      </w:tr>
      <w:tr>
        <w:tc>
          <w:tcPr>
            <w:gridSpan w:val="5"/>
          </w:tcPr>
          <w:p>
            <w:pPr>
              <w:pStyle w:val="Compact"/>
              <w:jc w:val="right"/>
            </w:pPr>
            <w:r>
              <w:t xml:space="preserve">VAT (KDV) 20%</w:t>
            </w:r>
          </w:p>
        </w:tc>
        <w:tc>
          <w:tcPr/>
          <w:p>
            <w:pPr>
              <w:pStyle w:val="Compact"/>
              <w:jc w:val="left"/>
            </w:pPr>
            <w:r>
              <w:t xml:space="preserve">1,134,200.00</w:t>
            </w:r>
          </w:p>
        </w:tc>
        <w:tc>
          <w:tcPr/>
          <w:p>
            <w:pPr>
              <w:pStyle w:val="Compact"/>
            </w:pPr>
          </w:p>
        </w:tc>
      </w:tr>
      <w:tr>
        <w:tc>
          <w:tcPr>
            <w:gridSpan w:val="5"/>
          </w:tcPr>
          <w:p>
            <w:pPr>
              <w:pStyle w:val="Compact"/>
              <w:jc w:val="right"/>
            </w:pPr>
            <w:r>
              <w:t xml:space="preserve">GRAND TOTAL (TRY)</w:t>
            </w:r>
          </w:p>
        </w:tc>
        <w:tc>
          <w:tcPr/>
          <w:p>
            <w:pPr>
              <w:pStyle w:val="Compact"/>
              <w:jc w:val="left"/>
            </w:pPr>
            <w:r>
              <w:t xml:space="preserve">6,805,200.00</w:t>
            </w:r>
          </w:p>
        </w:tc>
        <w:tc>
          <w:tcPr/>
          <w:p>
            <w:pPr>
              <w:pStyle w:val="Compact"/>
            </w:pPr>
          </w:p>
        </w:tc>
      </w:tr>
    </w:tbl>
    <w:p>
      <w:pPr>
        <w:pStyle w:val="BodyText"/>
      </w:pPr>
      <w:r>
        <w:t xml:space="preserve">3. Terms and Conditions of This Purchase Order</w:t>
      </w:r>
    </w:p>
    <w:p>
      <w:pPr>
        <w:numPr>
          <w:ilvl w:val="0"/>
          <w:numId w:val="1001"/>
        </w:numPr>
        <w:pStyle w:val="Compact"/>
      </w:pPr>
      <w:r>
        <w:rPr>
          <w:bCs/>
          <w:b/>
        </w:rPr>
        <w:t xml:space="preserve">Acceptance:</w:t>
      </w:r>
      <w:r>
        <w:t xml:space="preserve"> </w:t>
      </w:r>
      <w:r>
        <w:t xml:space="preserve">This Purchase Order becomes a binding contract upon written acceptance by the supplier. The supplier shall confirm acceptance of this Purchase Order within five (5) business days of receipt. Failure to confirm shall be interpreted as rejection of this Purchase Order.</w:t>
      </w:r>
    </w:p>
    <w:p>
      <w:pPr>
        <w:numPr>
          <w:ilvl w:val="0"/>
          <w:numId w:val="1001"/>
        </w:numPr>
        <w:pStyle w:val="Compact"/>
      </w:pPr>
      <w:r>
        <w:rPr>
          <w:bCs/>
          <w:b/>
        </w:rPr>
        <w:t xml:space="preserve">Delivery:</w:t>
      </w:r>
      <w:r>
        <w:t xml:space="preserve"> </w:t>
      </w:r>
      <w:r>
        <w:t xml:space="preserve">All items listed in this Purchase Order shall be delivered to the Meridian Ophthalmology Group facility in Kadıköy, Turkey Istanbul, at the address specified above. Delivery shall be made between 09:00 and 17:00 on the dates indicated. The supplier bears all risk of loss until the goods are received and inspected by our Ophthalmologist clinical team.</w:t>
      </w:r>
    </w:p>
    <w:p>
      <w:pPr>
        <w:numPr>
          <w:ilvl w:val="0"/>
          <w:numId w:val="1001"/>
        </w:numPr>
        <w:pStyle w:val="Compact"/>
      </w:pPr>
      <w:r>
        <w:rPr>
          <w:bCs/>
          <w:b/>
        </w:rPr>
        <w:t xml:space="preserve">Quality and Compliance:</w:t>
      </w:r>
      <w:r>
        <w:t xml:space="preserve"> </w:t>
      </w:r>
      <w:r>
        <w:t xml:space="preserve">All medical equipment and consumables procured under this Purchase Order must comply with the Turkish Medical Devices Regulation (Tıbbi Cihazlar Yönetmeliği) and carry valid CE marking or T.C. Ministry of Health approval. The Ophthalmologist responsible for clinical use shall have final authority to reject any item that does not meet the specified clinical standards.</w:t>
      </w:r>
    </w:p>
    <w:p>
      <w:pPr>
        <w:numPr>
          <w:ilvl w:val="0"/>
          <w:numId w:val="1001"/>
        </w:numPr>
        <w:pStyle w:val="Compact"/>
      </w:pPr>
      <w:r>
        <w:rPr>
          <w:bCs/>
          <w:b/>
        </w:rPr>
        <w:t xml:space="preserve">Payment Terms:</w:t>
      </w:r>
      <w:r>
        <w:t xml:space="preserve"> </w:t>
      </w:r>
      <w:r>
        <w:t xml:space="preserve">Payment shall be made via bank transfer (EFT/Havale) to the supplier's designated account in Turkey Istanbul within thirty (30) calendar days of the invoice date, provided that all goods have been delivered and accepted by our Ophthalmologist team. A 2% early payment discount applies if payment is made within ten (10) days.</w:t>
      </w:r>
    </w:p>
    <w:p>
      <w:pPr>
        <w:numPr>
          <w:ilvl w:val="0"/>
          <w:numId w:val="1001"/>
        </w:numPr>
        <w:pStyle w:val="Compact"/>
      </w:pPr>
      <w:r>
        <w:rPr>
          <w:bCs/>
          <w:b/>
        </w:rPr>
        <w:t xml:space="preserve">Warranty:</w:t>
      </w:r>
      <w:r>
        <w:t xml:space="preserve"> </w:t>
      </w:r>
      <w:r>
        <w:t xml:space="preserve">All capital equipment (Items 1, 2, and 3) shall carry a minimum two-year manufacturer's warranty covering parts and labor. The Ophthalmologist operating the equipment shall report any malfunction within forty-eight (48) hours, and the supplier shall dispatch a certified technician to our Turkey Istanbul location within seventy-two (72) hours.</w:t>
      </w:r>
    </w:p>
    <w:p>
      <w:pPr>
        <w:numPr>
          <w:ilvl w:val="0"/>
          <w:numId w:val="1001"/>
        </w:numPr>
        <w:pStyle w:val="Compact"/>
      </w:pPr>
      <w:r>
        <w:rPr>
          <w:bCs/>
          <w:b/>
        </w:rPr>
        <w:t xml:space="preserve">Installation and Training:</w:t>
      </w:r>
      <w:r>
        <w:t xml:space="preserve"> </w:t>
      </w:r>
      <w:r>
        <w:t xml:space="preserve">The supplier shall provide on-site installation of all surgical and diagnostic equipment at our Turkey Istanbul clinic. A minimum of forty (40) hours of hands-on training shall be provided to our Ophthalmologist staff and supporting technicians prior to the equipment being placed into clinical service.</w:t>
      </w:r>
    </w:p>
    <w:p>
      <w:pPr>
        <w:numPr>
          <w:ilvl w:val="0"/>
          <w:numId w:val="1001"/>
        </w:numPr>
        <w:pStyle w:val="Compact"/>
      </w:pPr>
      <w:r>
        <w:rPr>
          <w:bCs/>
          <w:b/>
        </w:rPr>
        <w:t xml:space="preserve">Intellectual Property and Data:</w:t>
      </w:r>
      <w:r>
        <w:t xml:space="preserve"> </w:t>
      </w:r>
      <w:r>
        <w:t xml:space="preserve">Any patient data or clinical records generated through the use of equipment procured under this Purchase Order remain the exclusive property of Meridian Ophthalmology Group A.Ş. The supplier shall not access, store, or transmit any such data in violation of the Turkish Personal Data Protection Law (KVKK, Law No. 6698).</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sanctions, or public health emergencies affecting operations in Turkey Istanbul.</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Turkey. Any disputes arising from this Purchase Order shall be subject to the exclusive jurisdiction of the commercial courts in Istanbul, Turkey.</w:t>
      </w:r>
    </w:p>
    <w:p>
      <w:pPr>
        <w:numPr>
          <w:ilvl w:val="0"/>
          <w:numId w:val="1001"/>
        </w:numPr>
        <w:pStyle w:val="Compact"/>
      </w:pPr>
      <w:r>
        <w:rPr>
          <w:bCs/>
          <w:b/>
        </w:rPr>
        <w:t xml:space="preserve">Amendments:</w:t>
      </w:r>
      <w:r>
        <w:t xml:space="preserve"> </w:t>
      </w:r>
      <w:r>
        <w:t xml:space="preserve">No modification to this Purchase Order shall be valid unless made in writing and signed by authorized representatives of both parties.</w:t>
      </w:r>
    </w:p>
    <w:p>
      <w:pPr>
        <w:pStyle w:val="FirstParagraph"/>
      </w:pPr>
      <w:r>
        <w:rPr>
          <w:bCs/>
          <w:b/>
        </w:rPr>
        <w:t xml:space="preserve">Important Note:</w:t>
      </w:r>
      <w:r>
        <w:t xml:space="preserve"> </w:t>
      </w:r>
      <w:r>
        <w:t xml:space="preserve">This Purchase Order is issued specifically to support the clinical operations of our Ophthalmologist team in Turkey Istanbul. All equipment must be compatible with existing infrastructure at our Kadıköy and Esenyurt locations. The Ophthalmologist in charge of procurement, Dr. Elif Yılmaz (TOD Member No. 4521), has reviewed and approved all specifications listed herein.</w:t>
      </w:r>
    </w:p>
    <w:p>
      <w:pPr>
        <w:pStyle w:val="BodyText"/>
      </w:pPr>
      <w:r>
        <w:t xml:space="preserve">4. Authorization and Signatures</w:t>
      </w:r>
    </w:p>
    <w:p>
      <w:pPr>
        <w:pStyle w:val="BodyText"/>
      </w:pPr>
      <w:r>
        <w:rPr>
          <w:bCs/>
          <w:b/>
        </w:rPr>
        <w:t xml:space="preserve">For Meridian Ophthalmology Group A.Ş. (Buyer)</w:t>
      </w:r>
      <w:r>
        <w:br/>
      </w:r>
      <w:r>
        <w:br/>
      </w:r>
      <w:r>
        <w:t xml:space="preserve">Name: Dr. Elif Yılmaz, MD, PhD</w:t>
      </w:r>
      <w:r>
        <w:br/>
      </w:r>
      <w:r>
        <w:t xml:space="preserve">Title: Lead Ophthalmologist &amp; Head of Procurement</w:t>
      </w:r>
      <w:r>
        <w:br/>
      </w:r>
      <w:r>
        <w:t xml:space="preserve">Signature: _________________________</w:t>
      </w:r>
      <w:r>
        <w:br/>
      </w:r>
      <w:r>
        <w:t xml:space="preserve">Date: 14 June 2025</w:t>
      </w:r>
      <w:r>
        <w:br/>
      </w:r>
      <w:r>
        <w:t xml:space="preserve">Company Stamp: [APPLIED]</w:t>
      </w:r>
    </w:p>
    <w:p>
      <w:pPr>
        <w:pStyle w:val="BodyText"/>
      </w:pPr>
      <w:r>
        <w:rPr>
          <w:bCs/>
          <w:b/>
        </w:rPr>
        <w:t xml:space="preserve">For OptiVision Medical Supplies Ltd. (Supplier)</w:t>
      </w:r>
      <w:r>
        <w:br/>
      </w:r>
      <w:r>
        <w:br/>
      </w:r>
      <w:r>
        <w:t xml:space="preserve">Name: Mehmet Kaya</w:t>
      </w:r>
      <w:r>
        <w:br/>
      </w:r>
      <w:r>
        <w:t xml:space="preserve">Title: General Manager</w:t>
      </w:r>
      <w:r>
        <w:br/>
      </w:r>
      <w:r>
        <w:t xml:space="preserve">Signature: _________________________</w:t>
      </w:r>
      <w:r>
        <w:br/>
      </w:r>
      <w:r>
        <w:t xml:space="preserve">Date: _______________</w:t>
      </w:r>
      <w:r>
        <w:br/>
      </w:r>
      <w:r>
        <w:t xml:space="preserve">Company Stamp: [TO BE APPLIED]</w:t>
      </w:r>
    </w:p>
    <w:p>
      <w:pPr>
        <w:pStyle w:val="BodyText"/>
      </w:pPr>
      <w:r>
        <w:t xml:space="preserve">This Purchase Order (PO-2025-IST-0487) is the property of Meridian Ophthalmology Group A.Ş., Istanbul, Turkey. Unauthorized reproduction or distribution is prohibited. This document is valid only when bearing the original wet-ink signature and company stamp of both parties. For inquiries regarding this Purchase Order, contact our procurement department at procurement@meridianophthalmology.com.tr or +90 212 555 0147.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Ophthalmology Services - Turkey Istanbul</dc:title>
  <dc:creator/>
  <dc:language>en</dc:language>
  <cp:keywords/>
  <dcterms:created xsi:type="dcterms:W3CDTF">2026-10-10T04:34:21Z</dcterms:created>
  <dcterms:modified xsi:type="dcterms:W3CDTF">2026-10-10T04:34:21Z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