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Ophthalmology</w:t>
      </w:r>
      <w:r>
        <w:t xml:space="preserve"> </w:t>
      </w:r>
      <w:r>
        <w:t xml:space="preserve">Department</w:t>
      </w:r>
      <w:r>
        <w:t xml:space="preserve"> </w:t>
      </w:r>
      <w:r>
        <w:t xml:space="preserve">-</w:t>
      </w:r>
      <w:r>
        <w:t xml:space="preserve"> </w:t>
      </w:r>
      <w:r>
        <w:t xml:space="preserve">Uganda</w:t>
      </w:r>
      <w:r>
        <w:t xml:space="preserve"> </w:t>
      </w:r>
      <w:r>
        <w:t xml:space="preserve">Kampala</w:t>
      </w:r>
    </w:p>
    <w:bookmarkStart w:id="26" w:name="purchase-order"/>
    <w:p>
      <w:pPr>
        <w:pStyle w:val="Heading1"/>
      </w:pPr>
      <w:r>
        <w:t xml:space="preserve">PURCHASE ORDER</w:t>
      </w:r>
    </w:p>
    <w:p>
      <w:pPr>
        <w:pStyle w:val="FirstParagraph"/>
      </w:pPr>
      <w:r>
        <w:rPr>
          <w:bCs/>
          <w:b/>
        </w:rPr>
        <w:t xml:space="preserve">Buyer:</w:t>
      </w:r>
      <w:r>
        <w:t xml:space="preserve"> </w:t>
      </w:r>
      <w:r>
        <w:t xml:space="preserve">Kampala Regional Ophthalmology Centre</w:t>
      </w:r>
      <w:r>
        <w:br/>
      </w:r>
      <w:r>
        <w:rPr>
          <w:bCs/>
          <w:b/>
        </w:rPr>
        <w:t xml:space="preserve">Address:</w:t>
      </w:r>
      <w:r>
        <w:t xml:space="preserve"> </w:t>
      </w:r>
      <w:r>
        <w:t xml:space="preserve">Plot 14, Jinja Road, Kampala, Uganda</w:t>
      </w:r>
      <w:r>
        <w:br/>
      </w:r>
      <w:r>
        <w:rPr>
          <w:bCs/>
          <w:b/>
        </w:rPr>
        <w:t xml:space="preserve">Phone:</w:t>
      </w:r>
      <w:r>
        <w:t xml:space="preserve"> </w:t>
      </w:r>
      <w:r>
        <w:t xml:space="preserve">+256 414 255 890</w:t>
      </w:r>
      <w:r>
        <w:br/>
      </w:r>
      <w:r>
        <w:rPr>
          <w:bCs/>
          <w:b/>
        </w:rPr>
        <w:t xml:space="preserve">Email:</w:t>
      </w:r>
      <w:r>
        <w:t xml:space="preserve"> </w:t>
      </w:r>
      <w:r>
        <w:t xml:space="preserve">procurement@kroc-uganda.or.ug</w:t>
      </w:r>
      <w:r>
        <w:br/>
      </w:r>
      <w:r>
        <w:rPr>
          <w:bCs/>
          <w:b/>
        </w:rPr>
        <w:t xml:space="preserve">Uganda TIN:</w:t>
      </w:r>
      <w:r>
        <w:t xml:space="preserve"> </w:t>
      </w:r>
      <w:r>
        <w:t xml:space="preserve">100234567-000056</w:t>
      </w:r>
    </w:p>
    <w:p>
      <w:pPr>
        <w:pStyle w:val="BodyText"/>
      </w:pPr>
      <w:r>
        <w:rPr>
          <w:bCs/>
          <w:b/>
        </w:rPr>
        <w:t xml:space="preserve">Purchase Order No.:</w:t>
      </w:r>
      <w:r>
        <w:t xml:space="preserve"> </w:t>
      </w:r>
      <w:r>
        <w:t xml:space="preserve">KROC-PO-2025-0472</w:t>
      </w:r>
      <w:r>
        <w:br/>
      </w:r>
      <w:r>
        <w:rPr>
          <w:bCs/>
          <w:b/>
        </w:rPr>
        <w:t xml:space="preserve">Date of Issue:</w:t>
      </w:r>
      <w:r>
        <w:t xml:space="preserve"> </w:t>
      </w:r>
      <w:r>
        <w:t xml:space="preserve">12 June 2025</w:t>
      </w:r>
      <w:r>
        <w:br/>
      </w:r>
      <w:r>
        <w:rPr>
          <w:bCs/>
          <w:b/>
        </w:rPr>
        <w:t xml:space="preserve">Delivery Deadline:</w:t>
      </w:r>
      <w:r>
        <w:t xml:space="preserve"> </w:t>
      </w:r>
      <w:r>
        <w:t xml:space="preserve">26 June 2025</w:t>
      </w:r>
      <w:r>
        <w:br/>
      </w:r>
      <w:r>
        <w:rPr>
          <w:bCs/>
          <w:b/>
        </w:rPr>
        <w:t xml:space="preserve">Payment Terms:</w:t>
      </w:r>
      <w:r>
        <w:t xml:space="preserve"> </w:t>
      </w:r>
      <w:r>
        <w:t xml:space="preserve">Net 30 Days</w:t>
      </w:r>
    </w:p>
    <w:bookmarkStart w:id="20" w:name="supplier-information"/>
    <w:p>
      <w:pPr>
        <w:pStyle w:val="Heading2"/>
      </w:pPr>
      <w:r>
        <w:t xml:space="preserve">1. Supplier Information</w:t>
      </w:r>
    </w:p>
    <w:p>
      <w:pPr>
        <w:pStyle w:val="FirstParagraph"/>
      </w:pPr>
      <w:r>
        <w:rPr>
          <w:bCs/>
          <w:b/>
        </w:rPr>
        <w:t xml:space="preserve">Supplier Name:</w:t>
      </w:r>
      <w:r>
        <w:t xml:space="preserve"> </w:t>
      </w:r>
      <w:r>
        <w:t xml:space="preserve">MedEquip Africa (Uganda) Ltd.</w:t>
      </w:r>
      <w:r>
        <w:br/>
      </w:r>
      <w:r>
        <w:rPr>
          <w:bCs/>
          <w:b/>
        </w:rPr>
        <w:t xml:space="preserve">Address:</w:t>
      </w:r>
      <w:r>
        <w:t xml:space="preserve"> </w:t>
      </w:r>
      <w:r>
        <w:t xml:space="preserve">Industrial Area, Ntinda, Kampala, Uganda</w:t>
      </w:r>
      <w:r>
        <w:br/>
      </w:r>
      <w:r>
        <w:rPr>
          <w:bCs/>
          <w:b/>
        </w:rPr>
        <w:t xml:space="preserve">Contact Person:</w:t>
      </w:r>
      <w:r>
        <w:t xml:space="preserve"> </w:t>
      </w:r>
      <w:r>
        <w:t xml:space="preserve">Mr. David Okello, Procurement Manager</w:t>
      </w:r>
      <w:r>
        <w:br/>
      </w:r>
      <w:r>
        <w:rPr>
          <w:bCs/>
          <w:b/>
        </w:rPr>
        <w:t xml:space="preserve">Phone:</w:t>
      </w:r>
      <w:r>
        <w:t xml:space="preserve"> </w:t>
      </w:r>
      <w:r>
        <w:t xml:space="preserve">+256 772 334 561</w:t>
      </w:r>
      <w:r>
        <w:br/>
      </w:r>
      <w:r>
        <w:rPr>
          <w:bCs/>
          <w:b/>
        </w:rPr>
        <w:t xml:space="preserve">Email:</w:t>
      </w:r>
      <w:r>
        <w:t xml:space="preserve"> </w:t>
      </w:r>
      <w:r>
        <w:t xml:space="preserve">sales@medequipafrica.co.ug</w:t>
      </w:r>
      <w:r>
        <w:br/>
      </w:r>
      <w:r>
        <w:rPr>
          <w:bCs/>
          <w:b/>
        </w:rPr>
        <w:t xml:space="preserve">Supplier TIN:</w:t>
      </w:r>
      <w:r>
        <w:t xml:space="preserve"> </w:t>
      </w:r>
      <w:r>
        <w:t xml:space="preserve">100987654-000012</w:t>
      </w:r>
    </w:p>
    <w:bookmarkEnd w:id="20"/>
    <w:bookmarkStart w:id="21" w:name="purchase-order-description"/>
    <w:p>
      <w:pPr>
        <w:pStyle w:val="Heading2"/>
      </w:pPr>
      <w:r>
        <w:t xml:space="preserve">2. Purchase Order Description</w:t>
      </w:r>
    </w:p>
    <w:p>
      <w:pPr>
        <w:pStyle w:val="FirstParagraph"/>
      </w:pPr>
      <w:r>
        <w:t xml:space="preserve">This Purchase Order is issued by the Kampala Regional Ophthalmology Centre, a leading eye care facility located in Uganda Kampala, to procure essential ophthalmic equipment, diagnostic instruments, and consumable supplies required for the continued operation of our Ophthalmologist-led clinical services. This Purchase Order covers the procurement cycle for the second quarter of 2025 and is intended to support the work of our team of Ophthalmologist specialists who provide comprehensive eye care to patients across the Kampala metropolitan area and surrounding districts of Uganda.</w:t>
      </w:r>
    </w:p>
    <w:bookmarkEnd w:id="21"/>
    <w:bookmarkStart w:id="22"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Phacoemulsification Machine with Integrated Ophthalmologist Console (Alcon Infiniti 360)</w:t>
            </w:r>
          </w:p>
        </w:tc>
        <w:tc>
          <w:tcPr/>
          <w:p>
            <w:pPr>
              <w:pStyle w:val="Compact"/>
              <w:jc w:val="left"/>
            </w:pPr>
            <w:r>
              <w:t xml:space="preserve">1</w:t>
            </w:r>
          </w:p>
        </w:tc>
        <w:tc>
          <w:tcPr/>
          <w:p>
            <w:pPr>
              <w:pStyle w:val="Compact"/>
              <w:jc w:val="left"/>
            </w:pPr>
            <w:r>
              <w:t xml:space="preserve">Set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02</w:t>
            </w:r>
          </w:p>
        </w:tc>
        <w:tc>
          <w:tcPr/>
          <w:p>
            <w:pPr>
              <w:pStyle w:val="Compact"/>
              <w:jc w:val="left"/>
            </w:pPr>
            <w:r>
              <w:t xml:space="preserve">Slit Lamp Biomicroscope with Fundus Camera (Topcon SL-D7)</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12,500,000</w:t>
            </w:r>
          </w:p>
        </w:tc>
        <w:tc>
          <w:tcPr/>
          <w:p>
            <w:pPr>
              <w:pStyle w:val="Compact"/>
              <w:jc w:val="left"/>
            </w:pPr>
            <w:r>
              <w:t xml:space="preserve">37,500,000</w:t>
            </w:r>
          </w:p>
        </w:tc>
      </w:tr>
      <w:tr>
        <w:tc>
          <w:tcPr/>
          <w:p>
            <w:pPr>
              <w:pStyle w:val="Compact"/>
              <w:jc w:val="left"/>
            </w:pPr>
            <w:r>
              <w:t xml:space="preserve">03</w:t>
            </w:r>
          </w:p>
        </w:tc>
        <w:tc>
          <w:tcPr/>
          <w:p>
            <w:pPr>
              <w:pStyle w:val="Compact"/>
              <w:jc w:val="left"/>
            </w:pPr>
            <w:r>
              <w:t xml:space="preserve">Optical Coherence Tomography (OCT) Scanner for Ophthalmologist Diagnostics</w:t>
            </w:r>
          </w:p>
        </w:tc>
        <w:tc>
          <w:tcPr/>
          <w:p>
            <w:pPr>
              <w:pStyle w:val="Compact"/>
              <w:jc w:val="left"/>
            </w:pPr>
            <w:r>
              <w:t xml:space="preserve">1</w:t>
            </w:r>
          </w:p>
        </w:tc>
        <w:tc>
          <w:tcPr/>
          <w:p>
            <w:pPr>
              <w:pStyle w:val="Compact"/>
              <w:jc w:val="left"/>
            </w:pPr>
            <w:r>
              <w:t xml:space="preserve">Unit</w:t>
            </w:r>
          </w:p>
        </w:tc>
        <w:tc>
          <w:tcPr/>
          <w:p>
            <w:pPr>
              <w:pStyle w:val="Compact"/>
              <w:jc w:val="left"/>
            </w:pPr>
            <w:r>
              <w:t xml:space="preserve">68,000,000</w:t>
            </w:r>
          </w:p>
        </w:tc>
        <w:tc>
          <w:tcPr/>
          <w:p>
            <w:pPr>
              <w:pStyle w:val="Compact"/>
              <w:jc w:val="left"/>
            </w:pPr>
            <w:r>
              <w:t xml:space="preserve">68,000,000</w:t>
            </w:r>
          </w:p>
        </w:tc>
      </w:tr>
      <w:tr>
        <w:tc>
          <w:tcPr/>
          <w:p>
            <w:pPr>
              <w:pStyle w:val="Compact"/>
              <w:jc w:val="left"/>
            </w:pPr>
            <w:r>
              <w:t xml:space="preserve">04</w:t>
            </w:r>
          </w:p>
        </w:tc>
        <w:tc>
          <w:tcPr/>
          <w:p>
            <w:pPr>
              <w:pStyle w:val="Compact"/>
              <w:jc w:val="left"/>
            </w:pPr>
            <w:r>
              <w:t xml:space="preserve">Automated Refractor / Keratometer (Nidek ARK-530A)</w:t>
            </w:r>
          </w:p>
        </w:tc>
        <w:tc>
          <w:tcPr/>
          <w:p>
            <w:pPr>
              <w:pStyle w:val="Compact"/>
              <w:jc w:val="left"/>
            </w:pPr>
            <w:r>
              <w:t xml:space="preserve">2</w:t>
            </w:r>
          </w:p>
        </w:tc>
        <w:tc>
          <w:tcPr/>
          <w:p>
            <w:pPr>
              <w:pStyle w:val="Compact"/>
              <w:jc w:val="left"/>
            </w:pPr>
            <w:r>
              <w:t xml:space="preserve">Unit</w:t>
            </w:r>
          </w:p>
        </w:tc>
        <w:tc>
          <w:tcPr/>
          <w:p>
            <w:pPr>
              <w:pStyle w:val="Compact"/>
              <w:jc w:val="left"/>
            </w:pPr>
            <w:r>
              <w:t xml:space="preserve">7,800,000</w:t>
            </w:r>
          </w:p>
        </w:tc>
        <w:tc>
          <w:tcPr/>
          <w:p>
            <w:pPr>
              <w:pStyle w:val="Compact"/>
              <w:jc w:val="left"/>
            </w:pPr>
            <w:r>
              <w:t xml:space="preserve">15,600,000</w:t>
            </w:r>
          </w:p>
        </w:tc>
      </w:tr>
      <w:tr>
        <w:tc>
          <w:tcPr/>
          <w:p>
            <w:pPr>
              <w:pStyle w:val="Compact"/>
              <w:jc w:val="left"/>
            </w:pPr>
            <w:r>
              <w:t xml:space="preserve">05</w:t>
            </w:r>
          </w:p>
        </w:tc>
        <w:tc>
          <w:tcPr/>
          <w:p>
            <w:pPr>
              <w:pStyle w:val="Compact"/>
              <w:jc w:val="left"/>
            </w:pPr>
            <w:r>
              <w:t xml:space="preserve">Intraocular Lens (IOL) – AcrySof IQ, 20.0D (for Ophthalmologist cataract procedures)</w:t>
            </w:r>
          </w:p>
        </w:tc>
        <w:tc>
          <w:tcPr/>
          <w:p>
            <w:pPr>
              <w:pStyle w:val="Compact"/>
              <w:jc w:val="left"/>
            </w:pPr>
            <w:r>
              <w:t xml:space="preserve">500</w:t>
            </w:r>
          </w:p>
        </w:tc>
        <w:tc>
          <w:tcPr/>
          <w:p>
            <w:pPr>
              <w:pStyle w:val="Compact"/>
              <w:jc w:val="left"/>
            </w:pPr>
            <w:r>
              <w:t xml:space="preserve">Pcs</w:t>
            </w:r>
          </w:p>
        </w:tc>
        <w:tc>
          <w:tcPr/>
          <w:p>
            <w:pPr>
              <w:pStyle w:val="Compact"/>
              <w:jc w:val="left"/>
            </w:pPr>
            <w:r>
              <w:t xml:space="preserve">450,000</w:t>
            </w:r>
          </w:p>
        </w:tc>
        <w:tc>
          <w:tcPr/>
          <w:p>
            <w:pPr>
              <w:pStyle w:val="Compact"/>
              <w:jc w:val="left"/>
            </w:pPr>
            <w:r>
              <w:t xml:space="preserve">225,000,000</w:t>
            </w:r>
          </w:p>
        </w:tc>
      </w:tr>
      <w:tr>
        <w:tc>
          <w:tcPr/>
          <w:p>
            <w:pPr>
              <w:pStyle w:val="Compact"/>
              <w:jc w:val="left"/>
            </w:pPr>
            <w:r>
              <w:t xml:space="preserve">06</w:t>
            </w:r>
          </w:p>
        </w:tc>
        <w:tc>
          <w:tcPr/>
          <w:p>
            <w:pPr>
              <w:pStyle w:val="Compact"/>
              <w:jc w:val="left"/>
            </w:pPr>
            <w:r>
              <w:t xml:space="preserve">Phacoemulsification Handpieces and Tips (disposable, Ophthalmologist surgical use)</w:t>
            </w:r>
          </w:p>
        </w:tc>
        <w:tc>
          <w:tcPr/>
          <w:p>
            <w:pPr>
              <w:pStyle w:val="Compact"/>
              <w:jc w:val="left"/>
            </w:pPr>
            <w:r>
              <w:t xml:space="preserve">2,000</w:t>
            </w:r>
          </w:p>
        </w:tc>
        <w:tc>
          <w:tcPr/>
          <w:p>
            <w:pPr>
              <w:pStyle w:val="Compact"/>
              <w:jc w:val="left"/>
            </w:pPr>
            <w:r>
              <w:t xml:space="preserve">Pcs</w:t>
            </w:r>
          </w:p>
        </w:tc>
        <w:tc>
          <w:tcPr/>
          <w:p>
            <w:pPr>
              <w:pStyle w:val="Compact"/>
              <w:jc w:val="left"/>
            </w:pPr>
            <w:r>
              <w:t xml:space="preserve">180,000</w:t>
            </w:r>
          </w:p>
        </w:tc>
        <w:tc>
          <w:tcPr/>
          <w:p>
            <w:pPr>
              <w:pStyle w:val="Compact"/>
              <w:jc w:val="left"/>
            </w:pPr>
            <w:r>
              <w:t xml:space="preserve">360,000,000</w:t>
            </w:r>
          </w:p>
        </w:tc>
      </w:tr>
      <w:tr>
        <w:tc>
          <w:tcPr/>
          <w:p>
            <w:pPr>
              <w:pStyle w:val="Compact"/>
              <w:jc w:val="left"/>
            </w:pPr>
            <w:r>
              <w:t xml:space="preserve">07</w:t>
            </w:r>
          </w:p>
        </w:tc>
        <w:tc>
          <w:tcPr/>
          <w:p>
            <w:pPr>
              <w:pStyle w:val="Compact"/>
              <w:jc w:val="left"/>
            </w:pPr>
            <w:r>
              <w:t xml:space="preserve">Topical Anaesthetic Drops – Proparacaine 0.5% (60ml bottles, Ophthalmologist examination)</w:t>
            </w:r>
          </w:p>
        </w:tc>
        <w:tc>
          <w:tcPr/>
          <w:p>
            <w:pPr>
              <w:pStyle w:val="Compact"/>
              <w:jc w:val="left"/>
            </w:pPr>
            <w:r>
              <w:t xml:space="preserve">200</w:t>
            </w:r>
          </w:p>
        </w:tc>
        <w:tc>
          <w:tcPr/>
          <w:p>
            <w:pPr>
              <w:pStyle w:val="Compact"/>
              <w:jc w:val="left"/>
            </w:pPr>
            <w:r>
              <w:t xml:space="preserve">Bottles</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08</w:t>
            </w:r>
          </w:p>
        </w:tc>
        <w:tc>
          <w:tcPr/>
          <w:p>
            <w:pPr>
              <w:pStyle w:val="Compact"/>
              <w:jc w:val="left"/>
            </w:pPr>
            <w:r>
              <w:t xml:space="preserve">Antibiotic Eye Drops – Moxifloxacin 0.5% (post-operative Ophthalmologist care)</w:t>
            </w:r>
          </w:p>
        </w:tc>
        <w:tc>
          <w:tcPr/>
          <w:p>
            <w:pPr>
              <w:pStyle w:val="Compact"/>
              <w:jc w:val="left"/>
            </w:pPr>
            <w:r>
              <w:t xml:space="preserve">300</w:t>
            </w:r>
          </w:p>
        </w:tc>
        <w:tc>
          <w:tcPr/>
          <w:p>
            <w:pPr>
              <w:pStyle w:val="Compact"/>
              <w:jc w:val="left"/>
            </w:pPr>
            <w:r>
              <w:t xml:space="preserve">Bottles</w:t>
            </w:r>
          </w:p>
        </w:tc>
        <w:tc>
          <w:tcPr/>
          <w:p>
            <w:pPr>
              <w:pStyle w:val="Compact"/>
              <w:jc w:val="left"/>
            </w:pPr>
            <w:r>
              <w:t xml:space="preserve">120,000</w:t>
            </w:r>
          </w:p>
        </w:tc>
        <w:tc>
          <w:tcPr/>
          <w:p>
            <w:pPr>
              <w:pStyle w:val="Compact"/>
              <w:jc w:val="left"/>
            </w:pPr>
            <w:r>
              <w:t xml:space="preserve">36,000,000</w:t>
            </w:r>
          </w:p>
        </w:tc>
      </w:tr>
      <w:tr>
        <w:tc>
          <w:tcPr/>
          <w:p>
            <w:pPr>
              <w:pStyle w:val="Compact"/>
              <w:jc w:val="left"/>
            </w:pPr>
            <w:r>
              <w:t xml:space="preserve">09</w:t>
            </w:r>
          </w:p>
        </w:tc>
        <w:tc>
          <w:tcPr/>
          <w:p>
            <w:pPr>
              <w:pStyle w:val="Compact"/>
              <w:jc w:val="left"/>
            </w:pPr>
            <w:r>
              <w:t xml:space="preserve">Perioperative Surgical Gowns and Gloves (sterile, Ophthalmologist OR use)</w:t>
            </w:r>
          </w:p>
        </w:tc>
        <w:tc>
          <w:tcPr/>
          <w:p>
            <w:pPr>
              <w:pStyle w:val="Compact"/>
              <w:jc w:val="left"/>
            </w:pPr>
            <w:r>
              <w:t xml:space="preserve">5,000</w:t>
            </w:r>
          </w:p>
        </w:tc>
        <w:tc>
          <w:tcPr/>
          <w:p>
            <w:pPr>
              <w:pStyle w:val="Compact"/>
              <w:jc w:val="left"/>
            </w:pPr>
            <w:r>
              <w:t xml:space="preserve">Sets</w:t>
            </w:r>
          </w:p>
        </w:tc>
        <w:tc>
          <w:tcPr/>
          <w:p>
            <w:pPr>
              <w:pStyle w:val="Compact"/>
              <w:jc w:val="left"/>
            </w:pPr>
            <w:r>
              <w:t xml:space="preserve">35,000</w:t>
            </w:r>
          </w:p>
        </w:tc>
        <w:tc>
          <w:tcPr/>
          <w:p>
            <w:pPr>
              <w:pStyle w:val="Compact"/>
              <w:jc w:val="left"/>
            </w:pPr>
            <w:r>
              <w:t xml:space="preserve">175,000,000</w:t>
            </w:r>
          </w:p>
        </w:tc>
      </w:tr>
      <w:tr>
        <w:tc>
          <w:tcPr/>
          <w:p>
            <w:pPr>
              <w:pStyle w:val="Compact"/>
              <w:jc w:val="left"/>
            </w:pPr>
            <w:r>
              <w:t xml:space="preserve">10</w:t>
            </w:r>
          </w:p>
        </w:tc>
        <w:tc>
          <w:tcPr/>
          <w:p>
            <w:pPr>
              <w:pStyle w:val="Compact"/>
              <w:jc w:val="left"/>
            </w:pPr>
            <w:r>
              <w:t xml:space="preserve">Visual Field Analyzer (Humphrey Field Analyzer 3i) for Ophthalmologist glaucoma screening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95,000,000</w:t>
            </w:r>
          </w:p>
        </w:tc>
        <w:tc>
          <w:tcPr/>
          <w:p>
            <w:pPr>
              <w:pStyle w:val="Compact"/>
              <w:jc w:val="left"/>
            </w:pPr>
            <w:r>
              <w:t xml:space="preserve">95,000,000</w:t>
            </w:r>
          </w:p>
        </w:tc>
      </w:tr>
      <w:tr>
        <w:tc>
          <w:tcPr>
            <w:gridSpan w:val="5"/>
          </w:tcPr>
          <w:p>
            <w:pPr>
              <w:pStyle w:val="Compact"/>
              <w:jc w:val="left"/>
            </w:pPr>
            <w:r>
              <w:rPr>
                <w:bCs/>
                <w:b/>
              </w:rPr>
              <w:t xml:space="preserve">Subtotal (UGX)</w:t>
            </w:r>
          </w:p>
        </w:tc>
        <w:tc>
          <w:tcPr/>
          <w:p>
            <w:pPr>
              <w:pStyle w:val="Compact"/>
              <w:jc w:val="left"/>
            </w:pPr>
            <w:r>
              <w:rPr>
                <w:bCs/>
                <w:b/>
              </w:rPr>
              <w:t xml:space="preserve">1,114,100,000</w:t>
            </w:r>
          </w:p>
        </w:tc>
      </w:tr>
      <w:tr>
        <w:tc>
          <w:tcPr>
            <w:gridSpan w:val="5"/>
          </w:tcPr>
          <w:p>
            <w:pPr>
              <w:pStyle w:val="Compact"/>
              <w:jc w:val="left"/>
            </w:pPr>
            <w:r>
              <w:t xml:space="preserve">VAT @ 18% (Uganda Revenue Authority)</w:t>
            </w:r>
          </w:p>
        </w:tc>
        <w:tc>
          <w:tcPr/>
          <w:p>
            <w:pPr>
              <w:pStyle w:val="Compact"/>
              <w:jc w:val="left"/>
            </w:pPr>
            <w:r>
              <w:t xml:space="preserve">200,538,000</w:t>
            </w:r>
          </w:p>
        </w:tc>
      </w:tr>
      <w:tr>
        <w:tc>
          <w:tcPr>
            <w:gridSpan w:val="5"/>
          </w:tcPr>
          <w:p>
            <w:pPr>
              <w:pStyle w:val="Compact"/>
              <w:jc w:val="left"/>
            </w:pPr>
            <w:r>
              <w:t xml:space="preserve">Import Duty &amp; Processing (Uganda Customs, Kampala Port)</w:t>
            </w:r>
          </w:p>
        </w:tc>
        <w:tc>
          <w:tcPr/>
          <w:p>
            <w:pPr>
              <w:pStyle w:val="Compact"/>
              <w:jc w:val="left"/>
            </w:pPr>
            <w:r>
              <w:t xml:space="preserve">44,564,000</w:t>
            </w:r>
          </w:p>
        </w:tc>
      </w:tr>
      <w:tr>
        <w:tc>
          <w:tcPr>
            <w:gridSpan w:val="5"/>
          </w:tcPr>
          <w:p>
            <w:pPr>
              <w:pStyle w:val="Compact"/>
              <w:jc w:val="left"/>
            </w:pPr>
            <w:r>
              <w:rPr>
                <w:bCs/>
                <w:b/>
              </w:rPr>
              <w:t xml:space="preserve">GRAND TOTAL (UGX)</w:t>
            </w:r>
          </w:p>
        </w:tc>
        <w:tc>
          <w:tcPr/>
          <w:p>
            <w:pPr>
              <w:pStyle w:val="Compact"/>
              <w:jc w:val="left"/>
            </w:pPr>
            <w:r>
              <w:rPr>
                <w:bCs/>
                <w:b/>
              </w:rPr>
              <w:t xml:space="preserve">1,359,202,000</w:t>
            </w:r>
          </w:p>
        </w:tc>
      </w:tr>
    </w:tbl>
    <w:bookmarkEnd w:id="22"/>
    <w:bookmarkStart w:id="23" w:name="delivery-and-logistics"/>
    <w:p>
      <w:pPr>
        <w:pStyle w:val="Heading2"/>
      </w:pPr>
      <w:r>
        <w:t xml:space="preserve">4. Delivery and Logistics</w:t>
      </w:r>
    </w:p>
    <w:p>
      <w:pPr>
        <w:pStyle w:val="FirstParagraph"/>
      </w:pPr>
      <w:r>
        <w:t xml:space="preserve">All items listed in this Purchase Order shall be delivered to the Kampala Regional Ophthalmology Centre, Jinja Road, Kampala, Uganda, no later than 26 June 2025. The supplier is responsible for all transportation, insurance, and customs clearance within Uganda Kampala. Fragile ophthalmic instruments and electronic diagnostic equipment must be packed in shock-absorbing, climate-controlled crates to ensure safe transit. The Ophthalmologist department will conduct a joint inspection upon delivery, and any damaged or non-conforming items will be rejected and replaced at the supplier's expense within fourteen (14) calendar days.</w:t>
      </w:r>
    </w:p>
    <w:bookmarkEnd w:id="23"/>
    <w:bookmarkStart w:id="24" w:name="terms-and-conditions"/>
    <w:p>
      <w:pPr>
        <w:pStyle w:val="Heading2"/>
      </w:pPr>
      <w:r>
        <w:t xml:space="preserve">5. Terms and Conditions</w:t>
      </w:r>
    </w:p>
    <w:p>
      <w:pPr>
        <w:numPr>
          <w:ilvl w:val="0"/>
          <w:numId w:val="1001"/>
        </w:numPr>
        <w:pStyle w:val="Compact"/>
      </w:pPr>
      <w:r>
        <w:t xml:space="preserve">This Purchase Order is governed by the laws of the Republic of Uganda and the Uganda Public Procurement and Disposal of Public Assets Act (PPDA) where applicable.</w:t>
      </w:r>
    </w:p>
    <w:p>
      <w:pPr>
        <w:numPr>
          <w:ilvl w:val="0"/>
          <w:numId w:val="1001"/>
        </w:numPr>
        <w:pStyle w:val="Compact"/>
      </w:pPr>
      <w:r>
        <w:t xml:space="preserve">Payment shall be made via bank transfer to the supplier's designated account within thirty (30) days of receipt of a valid tax invoice and successful inspection of all delivered goods.</w:t>
      </w:r>
    </w:p>
    <w:p>
      <w:pPr>
        <w:numPr>
          <w:ilvl w:val="0"/>
          <w:numId w:val="1001"/>
        </w:numPr>
        <w:pStyle w:val="Compact"/>
      </w:pPr>
      <w:r>
        <w:t xml:space="preserve">All ophthalmic equipment must carry a minimum manufacturer's warranty of two (2) years, with on-site service coverage in Uganda Kampala.</w:t>
      </w:r>
    </w:p>
    <w:p>
      <w:pPr>
        <w:numPr>
          <w:ilvl w:val="0"/>
          <w:numId w:val="1001"/>
        </w:numPr>
        <w:pStyle w:val="Compact"/>
      </w:pPr>
      <w:r>
        <w:t xml:space="preserve">The supplier shall provide comprehensive training for our Ophthalmologist staff and clinical technicians on the operation, maintenance, and troubleshooting of all capital equipment listed in this Purchase Order.</w:t>
      </w:r>
    </w:p>
    <w:p>
      <w:pPr>
        <w:numPr>
          <w:ilvl w:val="0"/>
          <w:numId w:val="1001"/>
        </w:numPr>
        <w:pStyle w:val="Compact"/>
      </w:pPr>
      <w:r>
        <w:t xml:space="preserve">Spare parts and consumables referenced in this Purchase Order must be CE-marked or FDA-approved and must comply with the Uganda National Drug Authority (UNDA) registration requirements.</w:t>
      </w:r>
    </w:p>
    <w:p>
      <w:pPr>
        <w:numPr>
          <w:ilvl w:val="0"/>
          <w:numId w:val="1001"/>
        </w:numPr>
        <w:pStyle w:val="Compact"/>
      </w:pPr>
      <w:r>
        <w:t xml:space="preserve">Any variation to this Purchase Order exceeding five percent (5%) of the total value must be approved in writing by the Head of Procurement, Kampala Regional Ophthalmology Centre.</w:t>
      </w:r>
    </w:p>
    <w:p>
      <w:pPr>
        <w:numPr>
          <w:ilvl w:val="0"/>
          <w:numId w:val="1001"/>
        </w:numPr>
        <w:pStyle w:val="Compact"/>
      </w:pPr>
      <w:r>
        <w:t xml:space="preserve">The supplier warrants that all goods are new, unused, and of the highest quality suitable for clinical use by a qualified Ophthalmologist in a hospital setting.</w:t>
      </w:r>
    </w:p>
    <w:p>
      <w:pPr>
        <w:numPr>
          <w:ilvl w:val="0"/>
          <w:numId w:val="1001"/>
        </w:numPr>
        <w:pStyle w:val="Compact"/>
      </w:pPr>
      <w:r>
        <w:t xml:space="preserve">Disputes arising from this Purchase Order shall be resolved through arbitration in Kampala, Uganda, in accordance with the rules of the Uganda Arbitration Centre.</w:t>
      </w:r>
    </w:p>
    <w:bookmarkEnd w:id="24"/>
    <w:bookmarkStart w:id="25" w:name="authorized-signatories"/>
    <w:p>
      <w:pPr>
        <w:pStyle w:val="Heading2"/>
      </w:pPr>
      <w:r>
        <w:t xml:space="preserve">6. Authorized Signatories</w:t>
      </w:r>
    </w:p>
    <w:p>
      <w:pPr>
        <w:pStyle w:val="FirstParagraph"/>
      </w:pPr>
      <w:r>
        <w:rPr>
          <w:bCs/>
          <w:b/>
        </w:rPr>
        <w:t xml:space="preserve">Prepared By:</w:t>
      </w:r>
      <w:r>
        <w:br/>
      </w:r>
      <w:r>
        <w:br/>
      </w:r>
      <w:r>
        <w:t xml:space="preserve">_______________________________</w:t>
      </w:r>
      <w:r>
        <w:br/>
      </w:r>
      <w:r>
        <w:t xml:space="preserve">Dr. Sarah Namuli, Ophthalmologist</w:t>
      </w:r>
      <w:r>
        <w:br/>
      </w:r>
      <w:r>
        <w:t xml:space="preserve">Head of Clinical Services</w:t>
      </w:r>
      <w:r>
        <w:br/>
      </w:r>
      <w:r>
        <w:t xml:space="preserve">Kampala Regional Ophthalmology Centre</w:t>
      </w:r>
      <w:r>
        <w:br/>
      </w:r>
      <w:r>
        <w:t xml:space="preserve">Date: _______________</w:t>
      </w:r>
    </w:p>
    <w:p>
      <w:pPr>
        <w:pStyle w:val="BodyText"/>
      </w:pPr>
      <w:r>
        <w:rPr>
          <w:bCs/>
          <w:b/>
        </w:rPr>
        <w:t xml:space="preserve">Approved By:</w:t>
      </w:r>
      <w:r>
        <w:br/>
      </w:r>
      <w:r>
        <w:br/>
      </w:r>
      <w:r>
        <w:t xml:space="preserve">_______________________________</w:t>
      </w:r>
      <w:r>
        <w:br/>
      </w:r>
      <w:r>
        <w:t xml:space="preserve">Mr. James Mukasa</w:t>
      </w:r>
      <w:r>
        <w:br/>
      </w:r>
      <w:r>
        <w:t xml:space="preserve">Director of Finance &amp; Procurement</w:t>
      </w:r>
      <w:r>
        <w:br/>
      </w:r>
      <w:r>
        <w:t xml:space="preserve">Kampala Regional Ophthalmology Centre</w:t>
      </w:r>
      <w:r>
        <w:br/>
      </w:r>
      <w:r>
        <w:t xml:space="preserve">Date: _______________</w:t>
      </w:r>
    </w:p>
    <w:p>
      <w:pPr>
        <w:pStyle w:val="BodyText"/>
      </w:pPr>
      <w:r>
        <w:rPr>
          <w:bCs/>
          <w:b/>
        </w:rPr>
        <w:t xml:space="preserve">Accepted By (Supplier):</w:t>
      </w:r>
      <w:r>
        <w:br/>
      </w:r>
      <w:r>
        <w:br/>
      </w:r>
      <w:r>
        <w:t xml:space="preserve">_______________________________</w:t>
      </w:r>
      <w:r>
        <w:br/>
      </w:r>
      <w:r>
        <w:t xml:space="preserve">Mr. David Okello</w:t>
      </w:r>
      <w:r>
        <w:br/>
      </w:r>
      <w:r>
        <w:t xml:space="preserve">Procurement Manager</w:t>
      </w:r>
      <w:r>
        <w:br/>
      </w:r>
      <w:r>
        <w:t xml:space="preserve">MedEquip Africa (Uganda) Ltd.</w:t>
      </w:r>
      <w:r>
        <w:br/>
      </w:r>
      <w:r>
        <w:t xml:space="preserve">Date: _______________</w:t>
      </w:r>
    </w:p>
    <w:p>
      <w:pPr>
        <w:pStyle w:val="BodyText"/>
      </w:pPr>
      <w:r>
        <w:rPr>
          <w:bCs/>
          <w:b/>
        </w:rPr>
        <w:t xml:space="preserve">Verified By (Internal Audit):</w:t>
      </w:r>
      <w:r>
        <w:br/>
      </w:r>
      <w:r>
        <w:br/>
      </w:r>
      <w:r>
        <w:t xml:space="preserve">_______________________________</w:t>
      </w:r>
      <w:r>
        <w:br/>
      </w:r>
      <w:r>
        <w:t xml:space="preserve">Ms. Grace Achen</w:t>
      </w:r>
      <w:r>
        <w:br/>
      </w:r>
      <w:r>
        <w:t xml:space="preserve">Internal Auditor</w:t>
      </w:r>
      <w:r>
        <w:br/>
      </w:r>
      <w:r>
        <w:t xml:space="preserve">Kampala Regional Ophthalmology Centre</w:t>
      </w:r>
      <w:r>
        <w:br/>
      </w:r>
      <w:r>
        <w:t xml:space="preserve">Date: _______________</w:t>
      </w:r>
    </w:p>
    <w:p>
      <w:pPr>
        <w:pStyle w:val="BodyText"/>
      </w:pPr>
      <w:r>
        <w:t xml:space="preserve">This Purchase Order is valid for a period of sixty (60) days from the date of issue. After this period, the supplier must confirm continued availability and pricing in writing before any goods are dispatched. All correspondence regarding this Purchase Order should reference PO No. KROC-PO-2025-0472. This document is the property of Kampala Regional Ophthalmology Centre, Uganda Kampala, and is not to be reproduced without written consent.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Ophthalmology Department - Uganda Kampala</dc:title>
  <dc:creator/>
  <dc:language>en</dc:language>
  <cp:keywords/>
  <dcterms:created xsi:type="dcterms:W3CDTF">2026-10-10T06:27:00Z</dcterms:created>
  <dcterms:modified xsi:type="dcterms:W3CDTF">2026-10-10T06:27:00Z</dcterms:modified>
</cp:coreProperties>
</file>

<file path=docProps/custom.xml><?xml version="1.0" encoding="utf-8"?>
<Properties xmlns="http://schemas.openxmlformats.org/officeDocument/2006/custom-properties" xmlns:vt="http://schemas.openxmlformats.org/officeDocument/2006/docPropsVTypes"/>
</file>