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Practice</w:t>
      </w:r>
      <w:r>
        <w:t xml:space="preserve"> </w:t>
      </w:r>
      <w:r>
        <w:t xml:space="preserve">-</w:t>
      </w:r>
      <w:r>
        <w:t xml:space="preserve"> </w:t>
      </w:r>
      <w:r>
        <w:t xml:space="preserve">Australia</w:t>
      </w:r>
      <w:r>
        <w:t xml:space="preserve"> </w:t>
      </w:r>
      <w:r>
        <w:t xml:space="preserve">Brisbane</w:t>
      </w:r>
    </w:p>
    <w:bookmarkStart w:id="26" w:name="purchase-order"/>
    <w:p>
      <w:pPr>
        <w:pStyle w:val="Heading1"/>
      </w:pPr>
      <w:r>
        <w:t xml:space="preserve">PURCHASE ORDER</w:t>
      </w:r>
    </w:p>
    <w:p>
      <w:pPr>
        <w:pStyle w:val="FirstParagraph"/>
      </w:pPr>
      <w:r>
        <w:rPr>
          <w:bCs/>
          <w:b/>
        </w:rPr>
        <w:t xml:space="preserve">Issuing Practice:</w:t>
      </w:r>
      <w:r>
        <w:br/>
      </w:r>
      <w:r>
        <w:t xml:space="preserve">Brisbane Vision Care Optometry Centre</w:t>
      </w:r>
      <w:r>
        <w:br/>
      </w:r>
      <w:r>
        <w:t xml:space="preserve">142 Creek Street, Fortitude Valley</w:t>
      </w:r>
      <w:r>
        <w:br/>
      </w:r>
      <w:r>
        <w:t xml:space="preserve">Brisbane, Queensland 4006</w:t>
      </w:r>
      <w:r>
        <w:br/>
      </w:r>
      <w:r>
        <w:t xml:space="preserve">Australia</w:t>
      </w:r>
      <w:r>
        <w:br/>
      </w:r>
      <w:r>
        <w:t xml:space="preserve">ABN: 54 123 456 789</w:t>
      </w:r>
      <w:r>
        <w:br/>
      </w:r>
      <w:r>
        <w:t xml:space="preserve">ACN: 123 456 789</w:t>
      </w:r>
      <w:r>
        <w:br/>
      </w:r>
      <w:r>
        <w:t xml:space="preserve">Phone: +61 7 3856 4321</w:t>
      </w:r>
      <w:r>
        <w:br/>
      </w:r>
      <w:r>
        <w:t xml:space="preserve">Email: procurement@brisbanevisioncare.com.au</w:t>
      </w:r>
    </w:p>
    <w:p>
      <w:pPr>
        <w:pStyle w:val="BodyText"/>
      </w:pPr>
      <w:r>
        <w:rPr>
          <w:bCs/>
          <w:b/>
        </w:rPr>
        <w:t xml:space="preserve">Supplier:</w:t>
      </w:r>
      <w:r>
        <w:br/>
      </w:r>
      <w:r>
        <w:t xml:space="preserve">OptiSupply Australia Pty Ltd</w:t>
      </w:r>
      <w:r>
        <w:br/>
      </w:r>
      <w:r>
        <w:t xml:space="preserve">Unit 7, 2200 Ipswich Road</w:t>
      </w:r>
      <w:r>
        <w:br/>
      </w:r>
      <w:r>
        <w:t xml:space="preserve">Chelmer, Queensland 4052</w:t>
      </w:r>
      <w:r>
        <w:br/>
      </w:r>
      <w:r>
        <w:t xml:space="preserve">Australia Brisbane Region</w:t>
      </w:r>
      <w:r>
        <w:br/>
      </w:r>
      <w:r>
        <w:t xml:space="preserve">ABN: 87 987 654 321</w:t>
      </w:r>
      <w:r>
        <w:br/>
      </w:r>
      <w:r>
        <w:t xml:space="preserve">Phone: +61 7 3276 8900</w:t>
      </w:r>
      <w:r>
        <w:br/>
      </w:r>
      <w:r>
        <w:t xml:space="preserve">Email: sales@optisupplyaustralia.com.au</w:t>
      </w:r>
    </w:p>
    <w:p>
      <w:pPr>
        <w:pStyle w:val="BodyText"/>
      </w:pPr>
      <w:r>
        <w:rPr>
          <w:bCs/>
          <w:b/>
        </w:rPr>
        <w:t xml:space="preserve">Purchase Order Number:</w:t>
      </w:r>
      <w:r>
        <w:t xml:space="preserve"> </w:t>
      </w:r>
      <w:r>
        <w:t xml:space="preserve">PO-2025-BVC-0047</w:t>
      </w:r>
    </w:p>
    <w:p>
      <w:pPr>
        <w:pStyle w:val="BodyText"/>
      </w:pPr>
      <w:r>
        <w:rPr>
          <w:bCs/>
          <w:b/>
        </w:rPr>
        <w:t xml:space="preserve">Date of Issue:</w:t>
      </w:r>
      <w:r>
        <w:t xml:space="preserve"> </w:t>
      </w:r>
      <w:r>
        <w:t xml:space="preserve">12 June 2025</w:t>
      </w:r>
    </w:p>
    <w:p>
      <w:pPr>
        <w:pStyle w:val="BodyText"/>
      </w:pPr>
      <w:r>
        <w:rPr>
          <w:bCs/>
          <w:b/>
        </w:rPr>
        <w:t xml:space="preserve">Required Delivery Date:</w:t>
      </w:r>
      <w:r>
        <w:t xml:space="preserve"> </w:t>
      </w:r>
      <w:r>
        <w:t xml:space="preserve">26 June 2025</w:t>
      </w:r>
    </w:p>
    <w:p>
      <w:pPr>
        <w:pStyle w:val="BodyText"/>
      </w:pPr>
      <w:r>
        <w:rPr>
          <w:bCs/>
          <w:b/>
        </w:rPr>
        <w:t xml:space="preserve">Delivery Address:</w:t>
      </w:r>
      <w:r>
        <w:t xml:space="preserve"> </w:t>
      </w:r>
      <w:r>
        <w:t xml:space="preserve">142 Creek Street, Fortitude Valley, Brisbane, QLD 4006, Australia</w:t>
      </w:r>
    </w:p>
    <w:p>
      <w:pPr>
        <w:pStyle w:val="BodyText"/>
      </w:pPr>
      <w:r>
        <w:rPr>
          <w:bCs/>
          <w:b/>
        </w:rPr>
        <w:t xml:space="preserve">Payment Terms:</w:t>
      </w:r>
      <w:r>
        <w:t xml:space="preserve"> </w:t>
      </w:r>
      <w:r>
        <w:t xml:space="preserve">Net 30 days from date of invoice</w:t>
      </w:r>
    </w:p>
    <w:p>
      <w:pPr>
        <w:pStyle w:val="BodyText"/>
      </w:pPr>
      <w:r>
        <w:rPr>
          <w:bCs/>
          <w:b/>
        </w:rPr>
        <w:t xml:space="preserve">Currency:</w:t>
      </w:r>
      <w:r>
        <w:t xml:space="preserve"> </w:t>
      </w:r>
      <w:r>
        <w:t xml:space="preserve">Australian Dollars (AUD)</w:t>
      </w:r>
    </w:p>
    <w:p>
      <w:pPr>
        <w:pStyle w:val="BodyText"/>
      </w:pPr>
      <w:r>
        <w:rPr>
          <w:bCs/>
          <w:b/>
        </w:rPr>
        <w:t xml:space="preserve">Prepared By:</w:t>
      </w:r>
      <w:r>
        <w:t xml:space="preserve"> </w:t>
      </w:r>
      <w:r>
        <w:t xml:space="preserve">Dr. Sarah Mitchell, Lead Optometrist</w:t>
      </w:r>
    </w:p>
    <w:bookmarkStart w:id="20" w:name="purchase-order-reference-and-purpose"/>
    <w:p>
      <w:pPr>
        <w:pStyle w:val="Heading2"/>
      </w:pPr>
      <w:r>
        <w:t xml:space="preserve">1. Purchase Order Reference and Purpose</w:t>
      </w:r>
    </w:p>
    <w:p>
      <w:pPr>
        <w:pStyle w:val="FirstParagraph"/>
      </w:pPr>
      <w:r>
        <w:t xml:space="preserve">This Purchase Order is issued by Brisbane Vision Care Optometry Centre, a registered optometry practice operating in Australia Brisbane, for the procurement of clinical equipment, diagnostic instruments, and consumable supplies required for the continued operation of our optometrist services. This Purchase Order is governed by the laws of the State of Queensland and the Commonwealth of Australia. All goods supplied under this Purchase Order must comply with the Therapeutic Goods Administration (TGA) regulations and the Australian Standards applicable to optometric and ophthalmic devices.</w:t>
      </w:r>
    </w:p>
    <w:bookmarkEnd w:id="20"/>
    <w:bookmarkStart w:id="21" w:name="line-items-and-specifications"/>
    <w:p>
      <w:pPr>
        <w:pStyle w:val="Heading2"/>
      </w:pPr>
      <w:r>
        <w:t xml:space="preserve">2. Line Items and Specifications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Line Total (AUD)</w:t>
            </w:r>
          </w:p>
        </w:tc>
      </w:tr>
      <w:tr>
        <w:tc>
          <w:tcPr/>
          <w:p>
            <w:pPr>
              <w:pStyle w:val="Compact"/>
              <w:jc w:val="left"/>
            </w:pPr>
            <w:r>
              <w:t xml:space="preserve">001</w:t>
            </w:r>
          </w:p>
        </w:tc>
        <w:tc>
          <w:tcPr/>
          <w:p>
            <w:pPr>
              <w:pStyle w:val="Compact"/>
              <w:jc w:val="left"/>
            </w:pPr>
            <w:r>
              <w:t xml:space="preserve">Topcon AutoRef 2000 Auto Refractor – Clinical Grade, TGA Approved, for use by Optometrist in Brisbane practice</w:t>
            </w:r>
          </w:p>
        </w:tc>
        <w:tc>
          <w:tcPr/>
          <w:p>
            <w:pPr>
              <w:pStyle w:val="Compact"/>
              <w:jc w:val="left"/>
            </w:pPr>
            <w:r>
              <w:t xml:space="preserve">1</w:t>
            </w:r>
          </w:p>
        </w:tc>
        <w:tc>
          <w:tcPr/>
          <w:p>
            <w:pPr>
              <w:pStyle w:val="Compact"/>
              <w:jc w:val="left"/>
            </w:pPr>
            <w:r>
              <w:t xml:space="preserve">12,450.00</w:t>
            </w:r>
          </w:p>
        </w:tc>
        <w:tc>
          <w:tcPr/>
          <w:p>
            <w:pPr>
              <w:pStyle w:val="Compact"/>
              <w:jc w:val="left"/>
            </w:pPr>
            <w:r>
              <w:t xml:space="preserve">12,450.00</w:t>
            </w:r>
          </w:p>
        </w:tc>
      </w:tr>
      <w:tr>
        <w:tc>
          <w:tcPr/>
          <w:p>
            <w:pPr>
              <w:pStyle w:val="Compact"/>
              <w:jc w:val="left"/>
            </w:pPr>
            <w:r>
              <w:t xml:space="preserve">002</w:t>
            </w:r>
          </w:p>
        </w:tc>
        <w:tc>
          <w:tcPr/>
          <w:p>
            <w:pPr>
              <w:pStyle w:val="Compact"/>
              <w:jc w:val="left"/>
            </w:pPr>
            <w:r>
              <w:t xml:space="preserve">Nidek OPK-1000K Auto Keratometer – Digital, with software update included</w:t>
            </w:r>
          </w:p>
        </w:tc>
        <w:tc>
          <w:tcPr/>
          <w:p>
            <w:pPr>
              <w:pStyle w:val="Compact"/>
              <w:jc w:val="left"/>
            </w:pPr>
            <w:r>
              <w:t xml:space="preserve">1</w:t>
            </w:r>
          </w:p>
        </w:tc>
        <w:tc>
          <w:tcPr/>
          <w:p>
            <w:pPr>
              <w:pStyle w:val="Compact"/>
              <w:jc w:val="left"/>
            </w:pPr>
            <w:r>
              <w:t xml:space="preserve">8,720.00</w:t>
            </w:r>
          </w:p>
        </w:tc>
        <w:tc>
          <w:tcPr/>
          <w:p>
            <w:pPr>
              <w:pStyle w:val="Compact"/>
              <w:jc w:val="left"/>
            </w:pPr>
            <w:r>
              <w:t xml:space="preserve">8,720.00</w:t>
            </w:r>
          </w:p>
        </w:tc>
      </w:tr>
      <w:tr>
        <w:tc>
          <w:tcPr/>
          <w:p>
            <w:pPr>
              <w:pStyle w:val="Compact"/>
              <w:jc w:val="left"/>
            </w:pPr>
            <w:r>
              <w:t xml:space="preserve">003</w:t>
            </w:r>
          </w:p>
        </w:tc>
        <w:tc>
          <w:tcPr/>
          <w:p>
            <w:pPr>
              <w:pStyle w:val="Compact"/>
              <w:jc w:val="left"/>
            </w:pPr>
            <w:r>
              <w:t xml:space="preserve">Zeiss I-PROBE 2000 Corneal Topographer – For advanced Optometrist diagnostic use in Australia Brisbane clinic</w:t>
            </w:r>
          </w:p>
        </w:tc>
        <w:tc>
          <w:tcPr/>
          <w:p>
            <w:pPr>
              <w:pStyle w:val="Compact"/>
              <w:jc w:val="left"/>
            </w:pPr>
            <w:r>
              <w:t xml:space="preserve">1</w:t>
            </w:r>
          </w:p>
        </w:tc>
        <w:tc>
          <w:tcPr/>
          <w:p>
            <w:pPr>
              <w:pStyle w:val="Compact"/>
              <w:jc w:val="left"/>
            </w:pPr>
            <w:r>
              <w:t xml:space="preserve">24,300.00</w:t>
            </w:r>
          </w:p>
        </w:tc>
        <w:tc>
          <w:tcPr/>
          <w:p>
            <w:pPr>
              <w:pStyle w:val="Compact"/>
              <w:jc w:val="left"/>
            </w:pPr>
            <w:r>
              <w:t xml:space="preserve">24,300.00</w:t>
            </w:r>
          </w:p>
        </w:tc>
      </w:tr>
      <w:tr>
        <w:tc>
          <w:tcPr/>
          <w:p>
            <w:pPr>
              <w:pStyle w:val="Compact"/>
              <w:jc w:val="left"/>
            </w:pPr>
            <w:r>
              <w:t xml:space="preserve">004</w:t>
            </w:r>
          </w:p>
        </w:tc>
        <w:tc>
          <w:tcPr/>
          <w:p>
            <w:pPr>
              <w:pStyle w:val="Compact"/>
              <w:jc w:val="left"/>
            </w:pPr>
            <w:r>
              <w:t xml:space="preserve">Heine Omega 200 Direct Ophthalmoscope – 200x magnification, LED illumination</w:t>
            </w:r>
          </w:p>
        </w:tc>
        <w:tc>
          <w:tcPr/>
          <w:p>
            <w:pPr>
              <w:pStyle w:val="Compact"/>
              <w:jc w:val="left"/>
            </w:pPr>
            <w:r>
              <w:t xml:space="preserve">4</w:t>
            </w:r>
          </w:p>
        </w:tc>
        <w:tc>
          <w:tcPr/>
          <w:p>
            <w:pPr>
              <w:pStyle w:val="Compact"/>
              <w:jc w:val="left"/>
            </w:pPr>
            <w:r>
              <w:t xml:space="preserve">385.00</w:t>
            </w:r>
          </w:p>
        </w:tc>
        <w:tc>
          <w:tcPr/>
          <w:p>
            <w:pPr>
              <w:pStyle w:val="Compact"/>
              <w:jc w:val="left"/>
            </w:pPr>
            <w:r>
              <w:t xml:space="preserve">1,540.00</w:t>
            </w:r>
          </w:p>
        </w:tc>
      </w:tr>
      <w:tr>
        <w:tc>
          <w:tcPr/>
          <w:p>
            <w:pPr>
              <w:pStyle w:val="Compact"/>
              <w:jc w:val="left"/>
            </w:pPr>
            <w:r>
              <w:t xml:space="preserve">005</w:t>
            </w:r>
          </w:p>
        </w:tc>
        <w:tc>
          <w:tcPr/>
          <w:p>
            <w:pPr>
              <w:pStyle w:val="Compact"/>
              <w:jc w:val="left"/>
            </w:pPr>
            <w:r>
              <w:t xml:space="preserve">Penlights – 3-LED, rechargeable, for Optometrist patient examinations</w:t>
            </w:r>
          </w:p>
        </w:tc>
        <w:tc>
          <w:tcPr/>
          <w:p>
            <w:pPr>
              <w:pStyle w:val="Compact"/>
              <w:jc w:val="left"/>
            </w:pPr>
            <w:r>
              <w:t xml:space="preserve">10</w:t>
            </w:r>
          </w:p>
        </w:tc>
        <w:tc>
          <w:tcPr/>
          <w:p>
            <w:pPr>
              <w:pStyle w:val="Compact"/>
              <w:jc w:val="left"/>
            </w:pPr>
            <w:r>
              <w:t xml:space="preserve">42.00</w:t>
            </w:r>
          </w:p>
        </w:tc>
        <w:tc>
          <w:tcPr/>
          <w:p>
            <w:pPr>
              <w:pStyle w:val="Compact"/>
              <w:jc w:val="left"/>
            </w:pPr>
            <w:r>
              <w:t xml:space="preserve">420.00</w:t>
            </w:r>
          </w:p>
        </w:tc>
      </w:tr>
      <w:tr>
        <w:tc>
          <w:tcPr/>
          <w:p>
            <w:pPr>
              <w:pStyle w:val="Compact"/>
              <w:jc w:val="left"/>
            </w:pPr>
            <w:r>
              <w:t xml:space="preserve">006</w:t>
            </w:r>
          </w:p>
        </w:tc>
        <w:tc>
          <w:tcPr/>
          <w:p>
            <w:pPr>
              <w:pStyle w:val="Compact"/>
              <w:jc w:val="left"/>
            </w:pPr>
            <w:r>
              <w:t xml:space="preserve">Disposable Trial Lens Frames – 50-piece pack, standard Australian sizing</w:t>
            </w:r>
          </w:p>
        </w:tc>
        <w:tc>
          <w:tcPr/>
          <w:p>
            <w:pPr>
              <w:pStyle w:val="Compact"/>
              <w:jc w:val="left"/>
            </w:pPr>
            <w:r>
              <w:t xml:space="preserve">6</w:t>
            </w:r>
          </w:p>
        </w:tc>
        <w:tc>
          <w:tcPr/>
          <w:p>
            <w:pPr>
              <w:pStyle w:val="Compact"/>
              <w:jc w:val="left"/>
            </w:pPr>
            <w:r>
              <w:t xml:space="preserve">128.00</w:t>
            </w:r>
          </w:p>
        </w:tc>
        <w:tc>
          <w:tcPr/>
          <w:p>
            <w:pPr>
              <w:pStyle w:val="Compact"/>
              <w:jc w:val="left"/>
            </w:pPr>
            <w:r>
              <w:t xml:space="preserve">768.00</w:t>
            </w:r>
          </w:p>
        </w:tc>
      </w:tr>
      <w:tr>
        <w:tc>
          <w:tcPr/>
          <w:p>
            <w:pPr>
              <w:pStyle w:val="Compact"/>
              <w:jc w:val="left"/>
            </w:pPr>
            <w:r>
              <w:t xml:space="preserve">007</w:t>
            </w:r>
          </w:p>
        </w:tc>
        <w:tc>
          <w:tcPr/>
          <w:p>
            <w:pPr>
              <w:pStyle w:val="Compact"/>
              <w:jc w:val="left"/>
            </w:pPr>
            <w:r>
              <w:t xml:space="preserve">Disposable Trial Lenses – Full set (SPH -12.00 to +12.00, CYL -6.00 to +6.00)</w:t>
            </w:r>
          </w:p>
        </w:tc>
        <w:tc>
          <w:tcPr/>
          <w:p>
            <w:pPr>
              <w:pStyle w:val="Compact"/>
              <w:jc w:val="left"/>
            </w:pPr>
            <w:r>
              <w:t xml:space="preserve">2</w:t>
            </w:r>
          </w:p>
        </w:tc>
        <w:tc>
          <w:tcPr/>
          <w:p>
            <w:pPr>
              <w:pStyle w:val="Compact"/>
              <w:jc w:val="left"/>
            </w:pPr>
            <w:r>
              <w:t xml:space="preserve">1,890.00</w:t>
            </w:r>
          </w:p>
        </w:tc>
        <w:tc>
          <w:tcPr/>
          <w:p>
            <w:pPr>
              <w:pStyle w:val="Compact"/>
              <w:jc w:val="left"/>
            </w:pPr>
            <w:r>
              <w:t xml:space="preserve">3,780.00</w:t>
            </w:r>
          </w:p>
        </w:tc>
      </w:tr>
      <w:tr>
        <w:tc>
          <w:tcPr/>
          <w:p>
            <w:pPr>
              <w:pStyle w:val="Compact"/>
              <w:jc w:val="left"/>
            </w:pPr>
            <w:r>
              <w:t xml:space="preserve">008</w:t>
            </w:r>
          </w:p>
        </w:tc>
        <w:tc>
          <w:tcPr/>
          <w:p>
            <w:pPr>
              <w:pStyle w:val="Compact"/>
              <w:jc w:val="left"/>
            </w:pPr>
            <w:r>
              <w:t xml:space="preserve">Wood's Lamp – 365nm UV, for fluorescein staining, Optometrist clinical use</w:t>
            </w:r>
          </w:p>
        </w:tc>
        <w:tc>
          <w:tcPr/>
          <w:p>
            <w:pPr>
              <w:pStyle w:val="Compact"/>
              <w:jc w:val="left"/>
            </w:pPr>
            <w:r>
              <w:t xml:space="preserve">2</w:t>
            </w:r>
          </w:p>
        </w:tc>
        <w:tc>
          <w:tcPr/>
          <w:p>
            <w:pPr>
              <w:pStyle w:val="Compact"/>
              <w:jc w:val="left"/>
            </w:pPr>
            <w:r>
              <w:t xml:space="preserve">620.00</w:t>
            </w:r>
          </w:p>
        </w:tc>
        <w:tc>
          <w:tcPr/>
          <w:p>
            <w:pPr>
              <w:pStyle w:val="Compact"/>
              <w:jc w:val="left"/>
            </w:pPr>
            <w:r>
              <w:t xml:space="preserve">1,240.00</w:t>
            </w:r>
          </w:p>
        </w:tc>
      </w:tr>
      <w:tr>
        <w:tc>
          <w:tcPr/>
          <w:p>
            <w:pPr>
              <w:pStyle w:val="Compact"/>
              <w:jc w:val="left"/>
            </w:pPr>
            <w:r>
              <w:t xml:space="preserve">009</w:t>
            </w:r>
          </w:p>
        </w:tc>
        <w:tc>
          <w:tcPr/>
          <w:p>
            <w:pPr>
              <w:pStyle w:val="Compact"/>
              <w:jc w:val="left"/>
            </w:pPr>
            <w:r>
              <w:t xml:space="preserve">Fluorescein Strips – 100 strips per box, sterile, single-use</w:t>
            </w:r>
          </w:p>
        </w:tc>
        <w:tc>
          <w:tcPr/>
          <w:p>
            <w:pPr>
              <w:pStyle w:val="Compact"/>
              <w:jc w:val="left"/>
            </w:pPr>
            <w:r>
              <w:t xml:space="preserve">12</w:t>
            </w:r>
          </w:p>
        </w:tc>
        <w:tc>
          <w:tcPr/>
          <w:p>
            <w:pPr>
              <w:pStyle w:val="Compact"/>
              <w:jc w:val="left"/>
            </w:pPr>
            <w:r>
              <w:t xml:space="preserve">34.50</w:t>
            </w:r>
          </w:p>
        </w:tc>
        <w:tc>
          <w:tcPr/>
          <w:p>
            <w:pPr>
              <w:pStyle w:val="Compact"/>
              <w:jc w:val="left"/>
            </w:pPr>
            <w:r>
              <w:t xml:space="preserve">414.00</w:t>
            </w:r>
          </w:p>
        </w:tc>
      </w:tr>
      <w:tr>
        <w:tc>
          <w:tcPr/>
          <w:p>
            <w:pPr>
              <w:pStyle w:val="Compact"/>
              <w:jc w:val="left"/>
            </w:pPr>
            <w:r>
              <w:t xml:space="preserve">010</w:t>
            </w:r>
          </w:p>
        </w:tc>
        <w:tc>
          <w:tcPr/>
          <w:p>
            <w:pPr>
              <w:pStyle w:val="Compact"/>
              <w:jc w:val="left"/>
            </w:pPr>
            <w:r>
              <w:t xml:space="preserve">Non-Contact Tonometer – Icare IC100, TGA registered, for Optometrist IOP measurements</w:t>
            </w:r>
          </w:p>
        </w:tc>
        <w:tc>
          <w:tcPr/>
          <w:p>
            <w:pPr>
              <w:pStyle w:val="Compact"/>
              <w:jc w:val="left"/>
            </w:pPr>
            <w:r>
              <w:t xml:space="preserve">1</w:t>
            </w:r>
          </w:p>
        </w:tc>
        <w:tc>
          <w:tcPr/>
          <w:p>
            <w:pPr>
              <w:pStyle w:val="Compact"/>
              <w:jc w:val="left"/>
            </w:pPr>
            <w:r>
              <w:t xml:space="preserve">5,890.00</w:t>
            </w:r>
          </w:p>
        </w:tc>
        <w:tc>
          <w:tcPr/>
          <w:p>
            <w:pPr>
              <w:pStyle w:val="Compact"/>
              <w:jc w:val="left"/>
            </w:pPr>
            <w:r>
              <w:t xml:space="preserve">5,890.00</w:t>
            </w:r>
          </w:p>
        </w:tc>
      </w:tr>
      <w:tr>
        <w:tc>
          <w:tcPr/>
          <w:p>
            <w:pPr>
              <w:pStyle w:val="Compact"/>
              <w:jc w:val="left"/>
            </w:pPr>
            <w:r>
              <w:t xml:space="preserve">011</w:t>
            </w:r>
          </w:p>
        </w:tc>
        <w:tc>
          <w:tcPr/>
          <w:p>
            <w:pPr>
              <w:pStyle w:val="Compact"/>
              <w:jc w:val="left"/>
            </w:pPr>
            <w:r>
              <w:t xml:space="preserve">Optical Coating Verification Kit – For lens quality assurance in Australia Brisbane workshop</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012</w:t>
            </w:r>
          </w:p>
        </w:tc>
        <w:tc>
          <w:tcPr/>
          <w:p>
            <w:pPr>
              <w:pStyle w:val="Compact"/>
              <w:jc w:val="left"/>
            </w:pPr>
            <w:r>
              <w:t xml:space="preserve">Patient Examination Chairs – Ergonomic, adjustable, with armrests (x2)</w:t>
            </w:r>
          </w:p>
        </w:tc>
        <w:tc>
          <w:tcPr/>
          <w:p>
            <w:pPr>
              <w:pStyle w:val="Compact"/>
              <w:jc w:val="left"/>
            </w:pPr>
            <w:r>
              <w:t xml:space="preserve">2</w:t>
            </w:r>
          </w:p>
        </w:tc>
        <w:tc>
          <w:tcPr/>
          <w:p>
            <w:pPr>
              <w:pStyle w:val="Compact"/>
              <w:jc w:val="left"/>
            </w:pPr>
            <w:r>
              <w:t xml:space="preserve">2,100.00</w:t>
            </w:r>
          </w:p>
        </w:tc>
        <w:tc>
          <w:tcPr/>
          <w:p>
            <w:pPr>
              <w:pStyle w:val="Compact"/>
              <w:jc w:val="left"/>
            </w:pPr>
            <w:r>
              <w:t xml:space="preserve">4,200.00</w:t>
            </w:r>
          </w:p>
        </w:tc>
      </w:tr>
      <w:tr>
        <w:tc>
          <w:tcPr/>
          <w:p>
            <w:pPr>
              <w:pStyle w:val="Compact"/>
              <w:jc w:val="left"/>
            </w:pPr>
            <w:r>
              <w:t xml:space="preserve">013</w:t>
            </w:r>
          </w:p>
        </w:tc>
        <w:tc>
          <w:tcPr/>
          <w:p>
            <w:pPr>
              <w:pStyle w:val="Compact"/>
              <w:jc w:val="left"/>
            </w:pPr>
            <w:r>
              <w:t xml:space="preserve">Anti-Static Lens Cleaning Solution – 500ml bottles (x24)</w:t>
            </w:r>
          </w:p>
        </w:tc>
        <w:tc>
          <w:tcPr/>
          <w:p>
            <w:pPr>
              <w:pStyle w:val="Compact"/>
              <w:jc w:val="left"/>
            </w:pPr>
            <w:r>
              <w:t xml:space="preserve">24</w:t>
            </w:r>
          </w:p>
        </w:tc>
        <w:tc>
          <w:tcPr/>
          <w:p>
            <w:pPr>
              <w:pStyle w:val="Compact"/>
              <w:jc w:val="left"/>
            </w:pPr>
            <w:r>
              <w:t xml:space="preserve">18.90</w:t>
            </w:r>
          </w:p>
        </w:tc>
        <w:tc>
          <w:tcPr/>
          <w:p>
            <w:pPr>
              <w:pStyle w:val="Compact"/>
              <w:jc w:val="left"/>
            </w:pPr>
            <w:r>
              <w:t xml:space="preserve">453.60</w:t>
            </w:r>
          </w:p>
        </w:tc>
      </w:tr>
      <w:tr>
        <w:tc>
          <w:tcPr/>
          <w:p>
            <w:pPr>
              <w:pStyle w:val="Compact"/>
              <w:jc w:val="left"/>
            </w:pPr>
            <w:r>
              <w:t xml:space="preserve">014</w:t>
            </w:r>
          </w:p>
        </w:tc>
        <w:tc>
          <w:tcPr/>
          <w:p>
            <w:pPr>
              <w:pStyle w:val="Compact"/>
              <w:jc w:val="left"/>
            </w:pPr>
            <w:r>
              <w:t xml:space="preserve">Microscope – Zeiss Stemi 508, 10x-50x, for Optometrist contact lens fitting</w:t>
            </w:r>
          </w:p>
        </w:tc>
        <w:tc>
          <w:tcPr/>
          <w:p>
            <w:pPr>
              <w:pStyle w:val="Compact"/>
              <w:jc w:val="left"/>
            </w:pPr>
            <w:r>
              <w:t xml:space="preserve">1</w:t>
            </w:r>
          </w:p>
        </w:tc>
        <w:tc>
          <w:tcPr/>
          <w:p>
            <w:pPr>
              <w:pStyle w:val="Compact"/>
              <w:jc w:val="left"/>
            </w:pPr>
            <w:r>
              <w:t xml:space="preserve">7,650.00</w:t>
            </w:r>
          </w:p>
        </w:tc>
        <w:tc>
          <w:tcPr/>
          <w:p>
            <w:pPr>
              <w:pStyle w:val="Compact"/>
              <w:jc w:val="left"/>
            </w:pPr>
            <w:r>
              <w:t xml:space="preserve">7,650.00</w:t>
            </w:r>
          </w:p>
        </w:tc>
      </w:tr>
    </w:tbl>
    <w:bookmarkEnd w:id="21"/>
    <w:bookmarkStart w:id="22" w:name="financial-summary"/>
    <w:p>
      <w:pPr>
        <w:pStyle w:val="Heading2"/>
      </w:pPr>
      <w:r>
        <w:t xml:space="preserve">3.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right"/>
            </w:pPr>
            <w:r>
              <w:t xml:space="preserve">83,475.60</w:t>
            </w:r>
          </w:p>
        </w:tc>
      </w:tr>
      <w:tr>
        <w:tc>
          <w:tcPr/>
          <w:p>
            <w:pPr>
              <w:pStyle w:val="Compact"/>
              <w:jc w:val="left"/>
            </w:pPr>
            <w:r>
              <w:t xml:space="preserve">GST (10%) – Australian Taxation Office compliant (AUD)</w:t>
            </w:r>
          </w:p>
        </w:tc>
        <w:tc>
          <w:tcPr/>
          <w:p>
            <w:pPr>
              <w:pStyle w:val="Compact"/>
              <w:jc w:val="right"/>
            </w:pPr>
            <w:r>
              <w:t xml:space="preserve">8,347.56</w:t>
            </w:r>
          </w:p>
        </w:tc>
      </w:tr>
      <w:tr>
        <w:tc>
          <w:tcPr/>
          <w:p>
            <w:pPr>
              <w:pStyle w:val="Compact"/>
              <w:jc w:val="left"/>
            </w:pPr>
            <w:r>
              <w:t xml:space="preserve">Freight and Delivery – Brisbane Metro Area (AUD)</w:t>
            </w:r>
          </w:p>
        </w:tc>
        <w:tc>
          <w:tcPr/>
          <w:p>
            <w:pPr>
              <w:pStyle w:val="Compact"/>
              <w:jc w:val="right"/>
            </w:pPr>
            <w:r>
              <w:t xml:space="preserve">485.00</w:t>
            </w:r>
          </w:p>
        </w:tc>
      </w:tr>
      <w:tr>
        <w:tc>
          <w:tcPr/>
          <w:p>
            <w:pPr>
              <w:pStyle w:val="Compact"/>
              <w:jc w:val="left"/>
            </w:pPr>
            <w:r>
              <w:rPr>
                <w:bCs/>
                <w:b/>
              </w:rPr>
              <w:t xml:space="preserve">Purchase Order Total (AUD)</w:t>
            </w:r>
          </w:p>
        </w:tc>
        <w:tc>
          <w:tcPr/>
          <w:p>
            <w:pPr>
              <w:pStyle w:val="Compact"/>
              <w:jc w:val="right"/>
            </w:pPr>
            <w:r>
              <w:rPr>
                <w:bCs/>
                <w:b/>
              </w:rPr>
              <w:t xml:space="preserve">92,308.16</w:t>
            </w:r>
          </w:p>
        </w:tc>
      </w:tr>
    </w:tbl>
    <w:bookmarkEnd w:id="22"/>
    <w:bookmarkStart w:id="23" w:name="terms-and-conditions"/>
    <w:p>
      <w:pPr>
        <w:pStyle w:val="Heading2"/>
      </w:pPr>
      <w:r>
        <w:t xml:space="preserve">4. Terms and Conditions</w:t>
      </w:r>
    </w:p>
    <w:p>
      <w:pPr>
        <w:pStyle w:val="FirstParagraph"/>
      </w:pPr>
      <w:r>
        <w:t xml:space="preserve">4.1 This Purchase Order constitutes a binding agreement between Brisbane Vision Care Optometry Centre (the "Buyer") and OptiSupply Australia Pty Ltd (the "Supplier") for the supply of optometric goods and equipment as itemised above.</w:t>
      </w:r>
    </w:p>
    <w:p>
      <w:pPr>
        <w:pStyle w:val="BodyText"/>
      </w:pPr>
      <w:r>
        <w:t xml:space="preserve">4.2 All goods must be new, unused, and in original manufacturer packaging. The Supplier warrants that all equipment supplied is TGA-registered and complies with all applicable Australian Standards, including AS/NZS 1337 for ophthalmic lenses and AS 4382 for ophthalmic instruments.</w:t>
      </w:r>
    </w:p>
    <w:p>
      <w:pPr>
        <w:pStyle w:val="BodyText"/>
      </w:pPr>
      <w:r>
        <w:t xml:space="preserve">4.3 Delivery shall be made to the Buyer's premises at 142 Creek Street, Fortitude Valley, Brisbane, Queensland 4006, Australia. The Supplier is responsible for all freight, insurance, and risk of loss until goods are received and signed for by the Buyer's authorised representative in Australia Brisbane.</w:t>
      </w:r>
    </w:p>
    <w:p>
      <w:pPr>
        <w:pStyle w:val="BodyText"/>
      </w:pPr>
      <w:r>
        <w:t xml:space="preserve">4.4 The Buyer shall remit payment within thirty (30) calendar days of receipt of a valid tax invoice from the Supplier. Payment shall be made via Electronic Funds Transfer (EFT) to the Supplier's nominated Australian bank account.</w:t>
      </w:r>
    </w:p>
    <w:p>
      <w:pPr>
        <w:pStyle w:val="BodyText"/>
      </w:pPr>
      <w:r>
        <w:t xml:space="preserve">4.5 The Supplier shall provide a minimum twelve (12) month manufacturer's warranty on all capital equipment items (Items 001, 002, 003, 010, 014). Warranty claims shall be processed in accordance with the Australian Consumer Law (ACL) and the Consumer Guarantees Act 1990 (Qld).</w:t>
      </w:r>
    </w:p>
    <w:p>
      <w:pPr>
        <w:pStyle w:val="BodyText"/>
      </w:pPr>
      <w:r>
        <w:t xml:space="preserve">4.6 The Optometrist and clinical staff at the Buyer's Brisbane practice shall be provided with full training on the operation of all capital equipment items upon delivery. Training shall be conducted on-site in Brisbane, Queensland, at no additional cost to the Buyer.</w:t>
      </w:r>
    </w:p>
    <w:p>
      <w:pPr>
        <w:pStyle w:val="BodyText"/>
      </w:pPr>
      <w:r>
        <w:t xml:space="preserve">4.7 The Supplier shall not subcontract any portion of this Purchase Order without the prior written consent of the Buyer. All goods must be sourced from authorised Australian distributors or directly from the manufacturer.</w:t>
      </w:r>
    </w:p>
    <w:p>
      <w:pPr>
        <w:pStyle w:val="BodyText"/>
      </w:pPr>
      <w:r>
        <w:t xml:space="preserve">4.8 In the event of non-conforming goods, the Buyer reserves the right to reject the delivery and require replacement within fourteen (14) business days at the Supplier's sole cost, including return freight within the Australia Brisbane metropolitan area.</w:t>
      </w:r>
    </w:p>
    <w:p>
      <w:pPr>
        <w:pStyle w:val="BodyText"/>
      </w:pPr>
      <w:r>
        <w:t xml:space="preserve">4.9 This Purchase Order is subject to the Privacy Act 1988 (Cth) and the Australian Privacy Principles. No patient data or clinical records shall be included in or transmitted with any delivery documentation.</w:t>
      </w:r>
    </w:p>
    <w:p>
      <w:pPr>
        <w:pStyle w:val="BodyText"/>
      </w:pPr>
      <w:r>
        <w:t xml:space="preserve">4.10 Any disputes arising from this Purchase Order shall be resolved in accordance with the Queensland Civil and Administrative Tribunal (QCAT) procedures or, where the amount exceeds the QCAT jurisdictional limit, in the Supreme Court of Queensland, Brisbane.</w:t>
      </w:r>
    </w:p>
    <w:bookmarkEnd w:id="23"/>
    <w:bookmarkStart w:id="24" w:name="special-instructions-for-delivery"/>
    <w:p>
      <w:pPr>
        <w:pStyle w:val="Heading2"/>
      </w:pPr>
      <w:r>
        <w:t xml:space="preserve">5. Special Instructions for Delivery</w:t>
      </w:r>
    </w:p>
    <w:p>
      <w:pPr>
        <w:pStyle w:val="FirstParagraph"/>
      </w:pPr>
      <w:r>
        <w:rPr>
          <w:bCs/>
          <w:b/>
        </w:rPr>
        <w:t xml:space="preserve">Attention:</w:t>
      </w:r>
      <w:r>
        <w:t xml:space="preserve"> </w:t>
      </w:r>
      <w:r>
        <w:t xml:space="preserve">All capital equipment (Items 001, 002, 003, 010, 014) must be delivered to the ground-floor clinical suite at 142 Creek Street, Fortitude Valley, Brisbane. Please contact the practice reception on +61 7 3856 4321 at least 48 hours prior to delivery to arrange a receiving window. The Optometrist on duty will be available to inspect and sign for all items. Fragile optical instruments must be handled with extreme care and delivered in climate-controlled transport. The delivery vehicle must be able to access the rear loading dock on Creek Street, Brisbane, QLD 4006.</w:t>
      </w:r>
    </w:p>
    <w:bookmarkEnd w:id="24"/>
    <w:bookmarkStart w:id="25" w:name="authorisation-and-acceptance"/>
    <w:p>
      <w:pPr>
        <w:pStyle w:val="Heading2"/>
      </w:pPr>
      <w:r>
        <w:t xml:space="preserve">6. Authorisation and Acceptance</w:t>
      </w:r>
    </w:p>
    <w:p>
      <w:pPr>
        <w:pStyle w:val="FirstParagraph"/>
      </w:pPr>
      <w:r>
        <w:t xml:space="preserve">This Purchase Order is authorised for release by the undersigned Lead Optometrist of Brisbane Vision Care Optometry Centre. By accepting this Purchase Order, the Supplier confirms its ability to supply all listed items within the stipulated timeframe and in full compliance with Australian regulatory requirements for optometric and ophthalmic devices.</w:t>
      </w:r>
    </w:p>
    <w:p>
      <w:pPr>
        <w:pStyle w:val="BodyText"/>
      </w:pPr>
      <w:r>
        <w:rPr>
          <w:bCs/>
          <w:b/>
        </w:rPr>
        <w:t xml:space="preserve">For and on behalf of the Buyer:</w:t>
      </w:r>
    </w:p>
    <w:p>
      <w:pPr>
        <w:pStyle w:val="BodyText"/>
      </w:pPr>
      <w:r>
        <w:t xml:space="preserve">Brisbane Vision Care Optometry Centre</w:t>
      </w:r>
    </w:p>
    <w:p>
      <w:pPr>
        <w:pStyle w:val="BodyText"/>
      </w:pPr>
      <w:r>
        <w:rPr>
          <w:bCs/>
          <w:b/>
        </w:rPr>
        <w:t xml:space="preserve">Dr. Sarah Mitchell</w:t>
      </w:r>
      <w:r>
        <w:br/>
      </w:r>
      <w:r>
        <w:t xml:space="preserve">Lead Optometrist / Practice Director</w:t>
      </w:r>
      <w:r>
        <w:br/>
      </w:r>
      <w:r>
        <w:t xml:space="preserve">AHPRA Registration No: OPT-2019-44821</w:t>
      </w:r>
      <w:r>
        <w:br/>
      </w:r>
      <w:r>
        <w:t xml:space="preserve">Date: 12 June 2025</w:t>
      </w:r>
    </w:p>
    <w:p>
      <w:pPr>
        <w:pStyle w:val="BodyText"/>
      </w:pPr>
      <w:r>
        <w:rPr>
          <w:bCs/>
          <w:b/>
        </w:rPr>
        <w:t xml:space="preserve">Accepted by the Supplier:</w:t>
      </w:r>
    </w:p>
    <w:p>
      <w:pPr>
        <w:pStyle w:val="BodyText"/>
      </w:pPr>
      <w:r>
        <w:t xml:space="preserve">OptiSupply Australia Pty Ltd</w:t>
      </w:r>
    </w:p>
    <w:p>
      <w:pPr>
        <w:pStyle w:val="BodyText"/>
      </w:pPr>
      <w:r>
        <w:rPr>
          <w:bCs/>
          <w:b/>
        </w:rPr>
        <w:t xml:space="preserve">James Thornton</w:t>
      </w:r>
      <w:r>
        <w:br/>
      </w:r>
      <w:r>
        <w:t xml:space="preserve">Sales &amp; Account Manager</w:t>
      </w:r>
      <w:r>
        <w:br/>
      </w:r>
      <w:r>
        <w:t xml:space="preserve">Date: _______________</w:t>
      </w:r>
    </w:p>
    <w:p>
      <w:pPr>
        <w:pStyle w:val="BodyText"/>
      </w:pPr>
      <w:r>
        <w:t xml:space="preserve">This Purchase Order (PO-2025-BVC-0047) was prepared for use by a registered Optometrist practice in Australia Brisbane. All terms are subject to the Australian Consumer Law, the Therapeutic Goods Act 1989 (Cth), and the Health Practitioner Regulation National Law as applied in Queensland. This document is valid for a period of ninety (90) days from the date of issue.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Practice - Australia Brisbane</dc:title>
  <dc:creator/>
  <dc:language>en</dc:language>
  <cp:keywords/>
  <dcterms:created xsi:type="dcterms:W3CDTF">2026-10-10T06:55:59Z</dcterms:created>
  <dcterms:modified xsi:type="dcterms:W3CDTF">2026-10-10T06:55:59Z</dcterms:modified>
</cp:coreProperties>
</file>

<file path=docProps/custom.xml><?xml version="1.0" encoding="utf-8"?>
<Properties xmlns="http://schemas.openxmlformats.org/officeDocument/2006/custom-properties" xmlns:vt="http://schemas.openxmlformats.org/officeDocument/2006/docPropsVTypes"/>
</file>