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Optometrist</w:t>
      </w:r>
      <w:r>
        <w:t xml:space="preserve"> </w:t>
      </w:r>
      <w:r>
        <w:t xml:space="preserve">Practice</w:t>
      </w:r>
      <w:r>
        <w:t xml:space="preserve"> </w:t>
      </w:r>
      <w:r>
        <w:t xml:space="preserve">-</w:t>
      </w:r>
      <w:r>
        <w:t xml:space="preserve"> </w:t>
      </w:r>
      <w:r>
        <w:t xml:space="preserve">Ethiopia</w:t>
      </w:r>
      <w:r>
        <w:t xml:space="preserve"> </w:t>
      </w:r>
      <w:r>
        <w:t xml:space="preserve">Addis</w:t>
      </w:r>
      <w:r>
        <w:t xml:space="preserve"> </w:t>
      </w:r>
      <w:r>
        <w:t xml:space="preserve">Ababa</w:t>
      </w:r>
    </w:p>
    <w:bookmarkStart w:id="33" w:name="purchase-order"/>
    <w:p>
      <w:pPr>
        <w:pStyle w:val="Heading1"/>
      </w:pPr>
      <w:r>
        <w:t xml:space="preserve">PURCHASE ORDER</w:t>
      </w:r>
    </w:p>
    <w:p>
      <w:pPr>
        <w:pStyle w:val="FirstParagraph"/>
      </w:pPr>
      <w:r>
        <w:t xml:space="preserve">Optometrist Practice — Ethiopia Addis Ababa</w:t>
      </w:r>
    </w:p>
    <w:bookmarkStart w:id="20" w:name="purchase-order-details"/>
    <w:p>
      <w:pPr>
        <w:pStyle w:val="Heading3"/>
      </w:pPr>
      <w:r>
        <w:t xml:space="preserve">Purchase Order Details</w:t>
      </w:r>
    </w:p>
    <w:p>
      <w:pPr>
        <w:pStyle w:val="FirstParagraph"/>
      </w:pPr>
      <w:r>
        <w:rPr>
          <w:bCs/>
          <w:b/>
        </w:rPr>
        <w:t xml:space="preserve">PO Number:</w:t>
      </w:r>
      <w:r>
        <w:t xml:space="preserve"> </w:t>
      </w:r>
      <w:r>
        <w:t xml:space="preserve">PO-ETH-ADD-2025-04782</w:t>
      </w:r>
    </w:p>
    <w:p>
      <w:pPr>
        <w:pStyle w:val="BodyText"/>
      </w:pPr>
      <w:r>
        <w:rPr>
          <w:bCs/>
          <w:b/>
        </w:rPr>
        <w:t xml:space="preserve">Date of Issue:</w:t>
      </w:r>
      <w:r>
        <w:t xml:space="preserve"> </w:t>
      </w:r>
      <w:r>
        <w:t xml:space="preserve">15 June 2025</w:t>
      </w:r>
    </w:p>
    <w:p>
      <w:pPr>
        <w:pStyle w:val="BodyText"/>
      </w:pPr>
      <w:r>
        <w:rPr>
          <w:bCs/>
          <w:b/>
        </w:rPr>
        <w:t xml:space="preserve">Required Delivery Date:</w:t>
      </w:r>
      <w:r>
        <w:t xml:space="preserve"> </w:t>
      </w:r>
      <w:r>
        <w:t xml:space="preserve">30 June 2025</w:t>
      </w:r>
    </w:p>
    <w:p>
      <w:pPr>
        <w:pStyle w:val="BodyText"/>
      </w:pPr>
      <w:r>
        <w:rPr>
          <w:bCs/>
          <w:b/>
        </w:rPr>
        <w:t xml:space="preserve">Currency:</w:t>
      </w:r>
      <w:r>
        <w:t xml:space="preserve"> </w:t>
      </w:r>
      <w:r>
        <w:t xml:space="preserve">Ethiopian Birr (ETB)</w:t>
      </w:r>
    </w:p>
    <w:p>
      <w:pPr>
        <w:pStyle w:val="BodyText"/>
      </w:pPr>
      <w:r>
        <w:rPr>
          <w:bCs/>
          <w:b/>
        </w:rPr>
        <w:t xml:space="preserve">Payment Terms:</w:t>
      </w:r>
      <w:r>
        <w:t xml:space="preserve"> </w:t>
      </w:r>
      <w:r>
        <w:t xml:space="preserve">Net 30 Days</w:t>
      </w:r>
    </w:p>
    <w:bookmarkEnd w:id="20"/>
    <w:bookmarkStart w:id="21" w:name="buyer-receiving-party"/>
    <w:p>
      <w:pPr>
        <w:pStyle w:val="Heading3"/>
      </w:pPr>
      <w:r>
        <w:t xml:space="preserve">Buyer (Receiving Party)</w:t>
      </w:r>
    </w:p>
    <w:p>
      <w:pPr>
        <w:pStyle w:val="FirstParagraph"/>
      </w:pPr>
      <w:r>
        <w:rPr>
          <w:bCs/>
          <w:b/>
        </w:rPr>
        <w:t xml:space="preserve">Clear Vision Optometry Center</w:t>
      </w:r>
    </w:p>
    <w:p>
      <w:pPr>
        <w:pStyle w:val="BodyText"/>
      </w:pPr>
      <w:r>
        <w:t xml:space="preserve">Optometrist Practice &amp; Eye Care Clinic</w:t>
      </w:r>
    </w:p>
    <w:p>
      <w:pPr>
        <w:pStyle w:val="BodyText"/>
      </w:pPr>
      <w:r>
        <w:t xml:space="preserve">Bole Sub-City, Woreda 03</w:t>
      </w:r>
    </w:p>
    <w:p>
      <w:pPr>
        <w:pStyle w:val="BodyText"/>
      </w:pPr>
      <w:r>
        <w:t xml:space="preserve">Ethiopia Addis Ababa, P.O. Box 4521</w:t>
      </w:r>
    </w:p>
    <w:p>
      <w:pPr>
        <w:pStyle w:val="BodyText"/>
      </w:pPr>
      <w:r>
        <w:t xml:space="preserve">Tel: +251-11-555-0198</w:t>
      </w:r>
    </w:p>
    <w:p>
      <w:pPr>
        <w:pStyle w:val="BodyText"/>
      </w:pPr>
      <w:r>
        <w:t xml:space="preserve">Email: procurement@clearvision.et</w:t>
      </w:r>
    </w:p>
    <w:p>
      <w:pPr>
        <w:pStyle w:val="BodyText"/>
      </w:pPr>
      <w:r>
        <w:t xml:space="preserve">TIN: ET-04521-8834</w:t>
      </w:r>
    </w:p>
    <w:bookmarkEnd w:id="21"/>
    <w:bookmarkStart w:id="22" w:name="supplier-vendor"/>
    <w:p>
      <w:pPr>
        <w:pStyle w:val="Heading3"/>
      </w:pPr>
      <w:r>
        <w:t xml:space="preserve">Supplier (Vendor)</w:t>
      </w:r>
    </w:p>
    <w:p>
      <w:pPr>
        <w:pStyle w:val="FirstParagraph"/>
      </w:pPr>
      <w:r>
        <w:rPr>
          <w:bCs/>
          <w:b/>
        </w:rPr>
        <w:t xml:space="preserve">EthioOptical Supply &amp; Equipment PLC</w:t>
      </w:r>
    </w:p>
    <w:p>
      <w:pPr>
        <w:pStyle w:val="BodyText"/>
      </w:pPr>
      <w:r>
        <w:t xml:space="preserve">Authorized Distributor of Ophthalmic &amp; Optometric Products</w:t>
      </w:r>
    </w:p>
    <w:p>
      <w:pPr>
        <w:pStyle w:val="BodyText"/>
      </w:pPr>
      <w:r>
        <w:t xml:space="preserve">Kazanchis Avenue, Bole Sub-City</w:t>
      </w:r>
    </w:p>
    <w:p>
      <w:pPr>
        <w:pStyle w:val="BodyText"/>
      </w:pPr>
      <w:r>
        <w:t xml:space="preserve">Ethiopia Addis Ababa, P.O. Box 7834</w:t>
      </w:r>
    </w:p>
    <w:p>
      <w:pPr>
        <w:pStyle w:val="BodyText"/>
      </w:pPr>
      <w:r>
        <w:t xml:space="preserve">Tel: +251-11-666-2245</w:t>
      </w:r>
    </w:p>
    <w:p>
      <w:pPr>
        <w:pStyle w:val="BodyText"/>
      </w:pPr>
      <w:r>
        <w:t xml:space="preserve">Email: sales@ethiooptical.et</w:t>
      </w:r>
    </w:p>
    <w:p>
      <w:pPr>
        <w:pStyle w:val="BodyText"/>
      </w:pPr>
      <w:r>
        <w:t xml:space="preserve">TIN: ET-07834-1156</w:t>
      </w:r>
    </w:p>
    <w:bookmarkEnd w:id="22"/>
    <w:bookmarkStart w:id="23" w:name="purpose-and-scope-of-this-purchase-order"/>
    <w:p>
      <w:pPr>
        <w:pStyle w:val="Heading2"/>
      </w:pPr>
      <w:r>
        <w:t xml:space="preserve">1. Purpose and Scope of This Purchase Order</w:t>
      </w:r>
    </w:p>
    <w:p>
      <w:pPr>
        <w:pStyle w:val="FirstParagraph"/>
      </w:pPr>
      <w:r>
        <w:t xml:space="preserve">This Purchase Order is issued by Clear Vision Optometry Center, a licensed Optometrist practice operating in Ethiopia Addis Ababa, to procure essential diagnostic instruments, corrective lenses, optical frames, and ancillary equipment required for the continued delivery of comprehensive eye care services to the local community. This Purchase Order governs the terms, conditions, pricing, and delivery obligations between the Optometrist buyer and the authorized supplier. All items listed herein are intended for clinical use within the Optometrist's examination rooms, dispensary, and patient consultation areas located in the Bole Sub-City district of Ethiopia Addis Ababa.</w:t>
      </w:r>
    </w:p>
    <w:bookmarkEnd w:id="23"/>
    <w:bookmarkStart w:id="24" w:name="line-items-and-quantities"/>
    <w:p>
      <w:pPr>
        <w:pStyle w:val="Heading2"/>
      </w:pPr>
      <w:r>
        <w:t xml:space="preserve">2. Line Items and Quantities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 / Model</w:t>
            </w:r>
          </w:p>
        </w:tc>
        <w:tc>
          <w:tcPr/>
          <w:p>
            <w:pPr>
              <w:pStyle w:val="Compact"/>
              <w:jc w:val="left"/>
            </w:pPr>
            <w:r>
              <w:t xml:space="preserve">Qty</w:t>
            </w:r>
          </w:p>
        </w:tc>
        <w:tc>
          <w:tcPr/>
          <w:p>
            <w:pPr>
              <w:pStyle w:val="Compact"/>
              <w:jc w:val="left"/>
            </w:pPr>
            <w:r>
              <w:t xml:space="preserve">Unit Price (ETB)</w:t>
            </w:r>
          </w:p>
        </w:tc>
        <w:tc>
          <w:tcPr/>
          <w:p>
            <w:pPr>
              <w:pStyle w:val="Compact"/>
              <w:jc w:val="left"/>
            </w:pPr>
            <w:r>
              <w:t xml:space="preserve">Subtotal (ETB)</w:t>
            </w:r>
          </w:p>
        </w:tc>
      </w:tr>
      <w:tr>
        <w:tc>
          <w:tcPr/>
          <w:p>
            <w:pPr>
              <w:pStyle w:val="Compact"/>
              <w:jc w:val="left"/>
            </w:pPr>
            <w:r>
              <w:t xml:space="preserve">01</w:t>
            </w:r>
          </w:p>
        </w:tc>
        <w:tc>
          <w:tcPr/>
          <w:p>
            <w:pPr>
              <w:pStyle w:val="Compact"/>
              <w:jc w:val="left"/>
            </w:pPr>
            <w:r>
              <w:t xml:space="preserve">Phoropter (Trial Frame) for Optometrist Refraction</w:t>
            </w:r>
          </w:p>
        </w:tc>
        <w:tc>
          <w:tcPr/>
          <w:p>
            <w:pPr>
              <w:pStyle w:val="Compact"/>
              <w:jc w:val="left"/>
            </w:pPr>
            <w:r>
              <w:t xml:space="preserve">Topcon AutoRef-500, Auto Refractor</w:t>
            </w:r>
          </w:p>
        </w:tc>
        <w:tc>
          <w:tcPr/>
          <w:p>
            <w:pPr>
              <w:pStyle w:val="Compact"/>
              <w:jc w:val="left"/>
            </w:pPr>
            <w:r>
              <w:t xml:space="preserve">2</w:t>
            </w:r>
          </w:p>
        </w:tc>
        <w:tc>
          <w:tcPr/>
          <w:p>
            <w:pPr>
              <w:pStyle w:val="Compact"/>
              <w:jc w:val="left"/>
            </w:pPr>
            <w:r>
              <w:t xml:space="preserve">185,000.00</w:t>
            </w:r>
          </w:p>
        </w:tc>
        <w:tc>
          <w:tcPr/>
          <w:p>
            <w:pPr>
              <w:pStyle w:val="Compact"/>
              <w:jc w:val="left"/>
            </w:pPr>
            <w:r>
              <w:t xml:space="preserve">370,000.00</w:t>
            </w:r>
          </w:p>
        </w:tc>
      </w:tr>
      <w:tr>
        <w:tc>
          <w:tcPr/>
          <w:p>
            <w:pPr>
              <w:pStyle w:val="Compact"/>
              <w:jc w:val="left"/>
            </w:pPr>
            <w:r>
              <w:t xml:space="preserve">02</w:t>
            </w:r>
          </w:p>
        </w:tc>
        <w:tc>
          <w:tcPr/>
          <w:p>
            <w:pPr>
              <w:pStyle w:val="Compact"/>
              <w:jc w:val="left"/>
            </w:pPr>
            <w:r>
              <w:t xml:space="preserve">Slit Lamp Biomicroscope for Optometrist Examination</w:t>
            </w:r>
          </w:p>
        </w:tc>
        <w:tc>
          <w:tcPr/>
          <w:p>
            <w:pPr>
              <w:pStyle w:val="Compact"/>
              <w:jc w:val="left"/>
            </w:pPr>
            <w:r>
              <w:t xml:space="preserve">Haag-Streit BQ 900</w:t>
            </w:r>
          </w:p>
        </w:tc>
        <w:tc>
          <w:tcPr/>
          <w:p>
            <w:pPr>
              <w:pStyle w:val="Compact"/>
              <w:jc w:val="left"/>
            </w:pPr>
            <w:r>
              <w:t xml:space="preserve">1</w:t>
            </w:r>
          </w:p>
        </w:tc>
        <w:tc>
          <w:tcPr/>
          <w:p>
            <w:pPr>
              <w:pStyle w:val="Compact"/>
              <w:jc w:val="left"/>
            </w:pPr>
            <w:r>
              <w:t xml:space="preserve">420,000.00</w:t>
            </w:r>
          </w:p>
        </w:tc>
        <w:tc>
          <w:tcPr/>
          <w:p>
            <w:pPr>
              <w:pStyle w:val="Compact"/>
              <w:jc w:val="left"/>
            </w:pPr>
            <w:r>
              <w:t xml:space="preserve">420,000.00</w:t>
            </w:r>
          </w:p>
        </w:tc>
      </w:tr>
      <w:tr>
        <w:tc>
          <w:tcPr/>
          <w:p>
            <w:pPr>
              <w:pStyle w:val="Compact"/>
              <w:jc w:val="left"/>
            </w:pPr>
            <w:r>
              <w:t xml:space="preserve">03</w:t>
            </w:r>
          </w:p>
        </w:tc>
        <w:tc>
          <w:tcPr/>
          <w:p>
            <w:pPr>
              <w:pStyle w:val="Compact"/>
              <w:jc w:val="left"/>
            </w:pPr>
            <w:r>
              <w:t xml:space="preserve">Non-Mydriatic Fundus Camera</w:t>
            </w:r>
          </w:p>
        </w:tc>
        <w:tc>
          <w:tcPr/>
          <w:p>
            <w:pPr>
              <w:pStyle w:val="Compact"/>
              <w:jc w:val="left"/>
            </w:pPr>
            <w:r>
              <w:t xml:space="preserve">Zeiss Visucam 200</w:t>
            </w:r>
          </w:p>
        </w:tc>
        <w:tc>
          <w:tcPr/>
          <w:p>
            <w:pPr>
              <w:pStyle w:val="Compact"/>
              <w:jc w:val="left"/>
            </w:pPr>
            <w:r>
              <w:t xml:space="preserve">1</w:t>
            </w:r>
          </w:p>
        </w:tc>
        <w:tc>
          <w:tcPr/>
          <w:p>
            <w:pPr>
              <w:pStyle w:val="Compact"/>
              <w:jc w:val="left"/>
            </w:pPr>
            <w:r>
              <w:t xml:space="preserve">385,000.00</w:t>
            </w:r>
          </w:p>
        </w:tc>
        <w:tc>
          <w:tcPr/>
          <w:p>
            <w:pPr>
              <w:pStyle w:val="Compact"/>
              <w:jc w:val="left"/>
            </w:pPr>
            <w:r>
              <w:t xml:space="preserve">385,000.00</w:t>
            </w:r>
          </w:p>
        </w:tc>
      </w:tr>
      <w:tr>
        <w:tc>
          <w:tcPr/>
          <w:p>
            <w:pPr>
              <w:pStyle w:val="Compact"/>
              <w:jc w:val="left"/>
            </w:pPr>
            <w:r>
              <w:t xml:space="preserve">04</w:t>
            </w:r>
          </w:p>
        </w:tc>
        <w:tc>
          <w:tcPr/>
          <w:p>
            <w:pPr>
              <w:pStyle w:val="Compact"/>
              <w:jc w:val="left"/>
            </w:pPr>
            <w:r>
              <w:t xml:space="preserve">Single-Vision Lenses (CR-39), Assorted Powers</w:t>
            </w:r>
          </w:p>
        </w:tc>
        <w:tc>
          <w:tcPr/>
          <w:p>
            <w:pPr>
              <w:pStyle w:val="Compact"/>
              <w:jc w:val="left"/>
            </w:pPr>
            <w:r>
              <w:t xml:space="preserve">Plano to -8.00D, 1.50 Index</w:t>
            </w:r>
          </w:p>
        </w:tc>
        <w:tc>
          <w:tcPr/>
          <w:p>
            <w:pPr>
              <w:pStyle w:val="Compact"/>
              <w:jc w:val="left"/>
            </w:pPr>
            <w:r>
              <w:t xml:space="preserve">200</w:t>
            </w:r>
          </w:p>
        </w:tc>
        <w:tc>
          <w:tcPr/>
          <w:p>
            <w:pPr>
              <w:pStyle w:val="Compact"/>
              <w:jc w:val="left"/>
            </w:pPr>
            <w:r>
              <w:t xml:space="preserve">1,250.00</w:t>
            </w:r>
          </w:p>
        </w:tc>
        <w:tc>
          <w:tcPr/>
          <w:p>
            <w:pPr>
              <w:pStyle w:val="Compact"/>
              <w:jc w:val="left"/>
            </w:pPr>
            <w:r>
              <w:t xml:space="preserve">250,000.00</w:t>
            </w:r>
          </w:p>
        </w:tc>
      </w:tr>
      <w:tr>
        <w:tc>
          <w:tcPr/>
          <w:p>
            <w:pPr>
              <w:pStyle w:val="Compact"/>
              <w:jc w:val="left"/>
            </w:pPr>
            <w:r>
              <w:t xml:space="preserve">05</w:t>
            </w:r>
          </w:p>
        </w:tc>
        <w:tc>
          <w:tcPr/>
          <w:p>
            <w:pPr>
              <w:pStyle w:val="Compact"/>
              <w:jc w:val="left"/>
            </w:pPr>
            <w:r>
              <w:t xml:space="preserve">Bifocal Progressive Lenses</w:t>
            </w:r>
          </w:p>
        </w:tc>
        <w:tc>
          <w:tcPr/>
          <w:p>
            <w:pPr>
              <w:pStyle w:val="Compact"/>
              <w:jc w:val="left"/>
            </w:pPr>
            <w:r>
              <w:t xml:space="preserve">Essilor Varilux X Series, 1.60 Index</w:t>
            </w:r>
          </w:p>
        </w:tc>
        <w:tc>
          <w:tcPr/>
          <w:p>
            <w:pPr>
              <w:pStyle w:val="Compact"/>
              <w:jc w:val="left"/>
            </w:pPr>
            <w:r>
              <w:t xml:space="preserve">80</w:t>
            </w:r>
          </w:p>
        </w:tc>
        <w:tc>
          <w:tcPr/>
          <w:p>
            <w:pPr>
              <w:pStyle w:val="Compact"/>
              <w:jc w:val="left"/>
            </w:pPr>
            <w:r>
              <w:t xml:space="preserve">4,800.00</w:t>
            </w:r>
          </w:p>
        </w:tc>
        <w:tc>
          <w:tcPr/>
          <w:p>
            <w:pPr>
              <w:pStyle w:val="Compact"/>
              <w:jc w:val="left"/>
            </w:pPr>
            <w:r>
              <w:t xml:space="preserve">384,000.00</w:t>
            </w:r>
          </w:p>
        </w:tc>
      </w:tr>
      <w:tr>
        <w:tc>
          <w:tcPr/>
          <w:p>
            <w:pPr>
              <w:pStyle w:val="Compact"/>
              <w:jc w:val="left"/>
            </w:pPr>
            <w:r>
              <w:t xml:space="preserve">06</w:t>
            </w:r>
          </w:p>
        </w:tc>
        <w:tc>
          <w:tcPr/>
          <w:p>
            <w:pPr>
              <w:pStyle w:val="Compact"/>
              <w:jc w:val="left"/>
            </w:pPr>
            <w:r>
              <w:t xml:space="preserve">Optical Frames (Titanium &amp; Acetate), Assorted Styles</w:t>
            </w:r>
          </w:p>
        </w:tc>
        <w:tc>
          <w:tcPr/>
          <w:p>
            <w:pPr>
              <w:pStyle w:val="Compact"/>
              <w:jc w:val="left"/>
            </w:pPr>
            <w:r>
              <w:t xml:space="preserve">Mixed Gender Collection, 2025 Line</w:t>
            </w:r>
          </w:p>
        </w:tc>
        <w:tc>
          <w:tcPr/>
          <w:p>
            <w:pPr>
              <w:pStyle w:val="Compact"/>
              <w:jc w:val="left"/>
            </w:pPr>
            <w:r>
              <w:t xml:space="preserve">150</w:t>
            </w:r>
          </w:p>
        </w:tc>
        <w:tc>
          <w:tcPr/>
          <w:p>
            <w:pPr>
              <w:pStyle w:val="Compact"/>
              <w:jc w:val="left"/>
            </w:pPr>
            <w:r>
              <w:t xml:space="preserve">3,500.00</w:t>
            </w:r>
          </w:p>
        </w:tc>
        <w:tc>
          <w:tcPr/>
          <w:p>
            <w:pPr>
              <w:pStyle w:val="Compact"/>
              <w:jc w:val="left"/>
            </w:pPr>
            <w:r>
              <w:t xml:space="preserve">525,000.00</w:t>
            </w:r>
          </w:p>
        </w:tc>
      </w:tr>
      <w:tr>
        <w:tc>
          <w:tcPr/>
          <w:p>
            <w:pPr>
              <w:pStyle w:val="Compact"/>
              <w:jc w:val="left"/>
            </w:pPr>
            <w:r>
              <w:t xml:space="preserve">07</w:t>
            </w:r>
          </w:p>
        </w:tc>
        <w:tc>
          <w:tcPr/>
          <w:p>
            <w:pPr>
              <w:pStyle w:val="Compact"/>
              <w:jc w:val="left"/>
            </w:pPr>
            <w:r>
              <w:t xml:space="preserve">Sunglasses with UV400 Protection</w:t>
            </w:r>
          </w:p>
        </w:tc>
        <w:tc>
          <w:tcPr/>
          <w:p>
            <w:pPr>
              <w:pStyle w:val="Compact"/>
              <w:jc w:val="left"/>
            </w:pPr>
            <w:r>
              <w:t xml:space="preserve">Polarized, CE &amp; Ethiopian Standards Certified</w:t>
            </w:r>
          </w:p>
        </w:tc>
        <w:tc>
          <w:tcPr/>
          <w:p>
            <w:pPr>
              <w:pStyle w:val="Compact"/>
              <w:jc w:val="left"/>
            </w:pPr>
            <w:r>
              <w:t xml:space="preserve">100</w:t>
            </w:r>
          </w:p>
        </w:tc>
        <w:tc>
          <w:tcPr/>
          <w:p>
            <w:pPr>
              <w:pStyle w:val="Compact"/>
              <w:jc w:val="left"/>
            </w:pPr>
            <w:r>
              <w:t xml:space="preserve">2,800.00</w:t>
            </w:r>
          </w:p>
        </w:tc>
        <w:tc>
          <w:tcPr/>
          <w:p>
            <w:pPr>
              <w:pStyle w:val="Compact"/>
              <w:jc w:val="left"/>
            </w:pPr>
            <w:r>
              <w:t xml:space="preserve">280,000.00</w:t>
            </w:r>
          </w:p>
        </w:tc>
      </w:tr>
      <w:tr>
        <w:tc>
          <w:tcPr/>
          <w:p>
            <w:pPr>
              <w:pStyle w:val="Compact"/>
              <w:jc w:val="left"/>
            </w:pPr>
            <w:r>
              <w:t xml:space="preserve">08</w:t>
            </w:r>
          </w:p>
        </w:tc>
        <w:tc>
          <w:tcPr/>
          <w:p>
            <w:pPr>
              <w:pStyle w:val="Compact"/>
              <w:jc w:val="left"/>
            </w:pPr>
            <w:r>
              <w:t xml:space="preserve">Contact Lens Solution &amp; Care Kits</w:t>
            </w:r>
          </w:p>
        </w:tc>
        <w:tc>
          <w:tcPr/>
          <w:p>
            <w:pPr>
              <w:pStyle w:val="Compact"/>
              <w:jc w:val="left"/>
            </w:pPr>
            <w:r>
              <w:t xml:space="preserve">Replenish+ 360ml, 12-month supply</w:t>
            </w:r>
          </w:p>
        </w:tc>
        <w:tc>
          <w:tcPr/>
          <w:p>
            <w:pPr>
              <w:pStyle w:val="Compact"/>
              <w:jc w:val="left"/>
            </w:pPr>
            <w:r>
              <w:t xml:space="preserve">50</w:t>
            </w:r>
          </w:p>
        </w:tc>
        <w:tc>
          <w:tcPr/>
          <w:p>
            <w:pPr>
              <w:pStyle w:val="Compact"/>
              <w:jc w:val="left"/>
            </w:pPr>
            <w:r>
              <w:t xml:space="preserve">1,800.00</w:t>
            </w:r>
          </w:p>
        </w:tc>
        <w:tc>
          <w:tcPr/>
          <w:p>
            <w:pPr>
              <w:pStyle w:val="Compact"/>
              <w:jc w:val="left"/>
            </w:pPr>
            <w:r>
              <w:t xml:space="preserve">90,000.00</w:t>
            </w:r>
          </w:p>
        </w:tc>
      </w:tr>
      <w:tr>
        <w:tc>
          <w:tcPr/>
          <w:p>
            <w:pPr>
              <w:pStyle w:val="Compact"/>
              <w:jc w:val="left"/>
            </w:pPr>
            <w:r>
              <w:t xml:space="preserve">09</w:t>
            </w:r>
          </w:p>
        </w:tc>
        <w:tc>
          <w:tcPr/>
          <w:p>
            <w:pPr>
              <w:pStyle w:val="Compact"/>
              <w:jc w:val="left"/>
            </w:pPr>
            <w:r>
              <w:t xml:space="preserve">Penlight &amp; Retinoscope Set for Optometrist Use</w:t>
            </w:r>
          </w:p>
        </w:tc>
        <w:tc>
          <w:tcPr/>
          <w:p>
            <w:pPr>
              <w:pStyle w:val="Compact"/>
              <w:jc w:val="left"/>
            </w:pPr>
            <w:r>
              <w:t xml:space="preserve">Heine Beta 20 + Shinwell Retinoscope</w:t>
            </w:r>
          </w:p>
        </w:tc>
        <w:tc>
          <w:tcPr/>
          <w:p>
            <w:pPr>
              <w:pStyle w:val="Compact"/>
              <w:jc w:val="left"/>
            </w:pPr>
            <w:r>
              <w:t xml:space="preserve">10</w:t>
            </w:r>
          </w:p>
        </w:tc>
        <w:tc>
          <w:tcPr/>
          <w:p>
            <w:pPr>
              <w:pStyle w:val="Compact"/>
              <w:jc w:val="left"/>
            </w:pPr>
            <w:r>
              <w:t xml:space="preserve">8,500.00</w:t>
            </w:r>
          </w:p>
        </w:tc>
        <w:tc>
          <w:tcPr/>
          <w:p>
            <w:pPr>
              <w:pStyle w:val="Compact"/>
              <w:jc w:val="left"/>
            </w:pPr>
            <w:r>
              <w:t xml:space="preserve">85,000.00</w:t>
            </w:r>
          </w:p>
        </w:tc>
      </w:tr>
      <w:tr>
        <w:tc>
          <w:tcPr/>
          <w:p>
            <w:pPr>
              <w:pStyle w:val="Compact"/>
              <w:jc w:val="left"/>
            </w:pPr>
            <w:r>
              <w:t xml:space="preserve">10</w:t>
            </w:r>
          </w:p>
        </w:tc>
        <w:tc>
          <w:tcPr/>
          <w:p>
            <w:pPr>
              <w:pStyle w:val="Compact"/>
              <w:jc w:val="left"/>
            </w:pPr>
            <w:r>
              <w:t xml:space="preserve">Eye Chart (Snellen &amp; LogMAR) Wall-Mounted</w:t>
            </w:r>
          </w:p>
        </w:tc>
        <w:tc>
          <w:tcPr/>
          <w:p>
            <w:pPr>
              <w:pStyle w:val="Compact"/>
              <w:jc w:val="left"/>
            </w:pPr>
            <w:r>
              <w:t xml:space="preserve">Backlit, 6m Viewing Distance</w:t>
            </w:r>
          </w:p>
        </w:tc>
        <w:tc>
          <w:tcPr/>
          <w:p>
            <w:pPr>
              <w:pStyle w:val="Compact"/>
              <w:jc w:val="left"/>
            </w:pPr>
            <w:r>
              <w:t xml:space="preserve">4</w:t>
            </w:r>
          </w:p>
        </w:tc>
        <w:tc>
          <w:tcPr/>
          <w:p>
            <w:pPr>
              <w:pStyle w:val="Compact"/>
              <w:jc w:val="left"/>
            </w:pPr>
            <w:r>
              <w:t xml:space="preserve">12,000.00</w:t>
            </w:r>
          </w:p>
        </w:tc>
        <w:tc>
          <w:tcPr/>
          <w:p>
            <w:pPr>
              <w:pStyle w:val="Compact"/>
              <w:jc w:val="left"/>
            </w:pPr>
            <w:r>
              <w:t xml:space="preserve">48,000.00</w:t>
            </w:r>
          </w:p>
        </w:tc>
      </w:tr>
    </w:tbl>
    <w:bookmarkEnd w:id="24"/>
    <w:bookmarkStart w:id="25" w:name="financial-summary"/>
    <w:p>
      <w:pPr>
        <w:pStyle w:val="Heading2"/>
      </w:pPr>
      <w:r>
        <w:t xml:space="preserve">3. Financial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(All Line Items)</w:t>
            </w:r>
          </w:p>
        </w:tc>
        <w:tc>
          <w:tcPr/>
          <w:p>
            <w:pPr>
              <w:pStyle w:val="Compact"/>
              <w:jc w:val="left"/>
            </w:pPr>
            <w:r>
              <w:t xml:space="preserve">2,837,000.00 ETB</w:t>
            </w:r>
          </w:p>
        </w:tc>
      </w:tr>
      <w:tr>
        <w:tc>
          <w:tcPr/>
          <w:p>
            <w:pPr>
              <w:pStyle w:val="Compact"/>
              <w:jc w:val="left"/>
            </w:pPr>
            <w:r>
              <w:t xml:space="preserve">VAT (15% — Ethiopian Revenue Authority Rate)</w:t>
            </w:r>
          </w:p>
        </w:tc>
        <w:tc>
          <w:tcPr/>
          <w:p>
            <w:pPr>
              <w:pStyle w:val="Compact"/>
              <w:jc w:val="left"/>
            </w:pPr>
            <w:r>
              <w:t xml:space="preserve">425,550.00 ETB</w:t>
            </w:r>
          </w:p>
        </w:tc>
      </w:tr>
      <w:tr>
        <w:tc>
          <w:tcPr/>
          <w:p>
            <w:pPr>
              <w:pStyle w:val="Compact"/>
              <w:jc w:val="left"/>
            </w:pPr>
            <w:r>
              <w:t xml:space="preserve">Delivery &amp; Installation within Ethiopia Addis Ababa</w:t>
            </w:r>
          </w:p>
        </w:tc>
        <w:tc>
          <w:tcPr/>
          <w:p>
            <w:pPr>
              <w:pStyle w:val="Compact"/>
              <w:jc w:val="left"/>
            </w:pPr>
            <w:r>
              <w:t xml:space="preserve">18,500.00 ETB</w:t>
            </w:r>
          </w:p>
        </w:tc>
      </w:tr>
      <w:tr>
        <w:tc>
          <w:tcPr/>
          <w:p>
            <w:pPr>
              <w:pStyle w:val="Compact"/>
              <w:jc w:val="left"/>
            </w:pPr>
            <w:r>
              <w:rPr>
                <w:bCs/>
                <w:b/>
              </w:rPr>
              <w:t xml:space="preserve">Grand Total</w:t>
            </w:r>
          </w:p>
        </w:tc>
        <w:tc>
          <w:tcPr/>
          <w:p>
            <w:pPr>
              <w:pStyle w:val="Compact"/>
              <w:jc w:val="left"/>
            </w:pPr>
            <w:r>
              <w:rPr>
                <w:bCs/>
                <w:b/>
              </w:rPr>
              <w:t xml:space="preserve">3,281,050.00 ETB</w:t>
            </w:r>
          </w:p>
        </w:tc>
      </w:tr>
    </w:tbl>
    <w:bookmarkEnd w:id="25"/>
    <w:bookmarkStart w:id="26" w:name="delivery-and-installation-terms"/>
    <w:p>
      <w:pPr>
        <w:pStyle w:val="Heading2"/>
      </w:pPr>
      <w:r>
        <w:t xml:space="preserve">4. Delivery and Installation Terms</w:t>
      </w:r>
    </w:p>
    <w:p>
      <w:pPr>
        <w:pStyle w:val="FirstParagraph"/>
      </w:pPr>
      <w:r>
        <w:t xml:space="preserve">All goods specified in this Purchase Order shall be delivered to the Optometrist's clinic premises at Bole Sub-City, Woreda 03, Ethiopia Addis Ababa, no later than the required delivery date stated above. The supplier is responsible for all transportation, handling, and insurance of goods from their warehouse to the Optometrist's facility. Installation and calibration of the slit lamp, phoropters, and fundus camera shall be performed by the supplier's certified biomedical engineers at the Optometrist's location in Ethiopia Addis Ababa at no additional cost. A written installation report and warranty registration certificate must be submitted to the Optometrist's procurement officer within five (5) business days of completion.</w:t>
      </w:r>
    </w:p>
    <w:bookmarkEnd w:id="26"/>
    <w:bookmarkStart w:id="27" w:name="X1e9311bf62a98d878286e85ce65a3eb3de8329f"/>
    <w:p>
      <w:pPr>
        <w:pStyle w:val="Heading2"/>
      </w:pPr>
      <w:r>
        <w:t xml:space="preserve">5. Quality Assurance and Regulatory Compliance</w:t>
      </w:r>
    </w:p>
    <w:p>
      <w:pPr>
        <w:pStyle w:val="FirstParagraph"/>
      </w:pPr>
      <w:r>
        <w:t xml:space="preserve">All products purchased under this Purchase Order must comply with the Ethiopian Food and Drug Authority (EFDA) regulations and the standards set by the Ethiopian Optometric Association. The Optometrist requires that all corrective lenses, contact lenses, and optical frames carry valid CE marking and, where applicable, EFDA import permits. The supplier shall provide certificates of conformity, batch numbers, and country-of-origin documentation for every item. Failure to meet these regulatory requirements will result in immediate rejection of the non-conforming goods and a proportional credit note issued against this Purchase Order.</w:t>
      </w:r>
    </w:p>
    <w:bookmarkEnd w:id="27"/>
    <w:bookmarkStart w:id="28" w:name="payment-and-banking-details"/>
    <w:p>
      <w:pPr>
        <w:pStyle w:val="Heading2"/>
      </w:pPr>
      <w:r>
        <w:t xml:space="preserve">6. Payment and Banking Details</w:t>
      </w:r>
    </w:p>
    <w:p>
      <w:pPr>
        <w:pStyle w:val="FirstParagraph"/>
      </w:pPr>
      <w:r>
        <w:t xml:space="preserve">Payment of the full amount of 3,281,050.00 ETB shall be made via bank transfer to the supplier's designated account within thirty (30) calendar days of the date of this Purchase Order, subject to satisfactory receipt and inspection of all goods by the Optometrist's quality assurance team. Payment shall be processed through the National Bank of Ethiopia, Account No. 1001-4521-8834, Clear Vision Optometry Center, Addis Ababa Branch. The supplier shall issue a valid Ethiopian Revenue Authority (ERA) tax invoice prior to payment processing.</w:t>
      </w:r>
    </w:p>
    <w:bookmarkEnd w:id="28"/>
    <w:bookmarkStart w:id="29" w:name="warranties-and-after-sales-support"/>
    <w:p>
      <w:pPr>
        <w:pStyle w:val="Heading2"/>
      </w:pPr>
      <w:r>
        <w:t xml:space="preserve">7. Warranties and After-Sales Support</w:t>
      </w:r>
    </w:p>
    <w:p>
      <w:pPr>
        <w:pStyle w:val="FirstParagraph"/>
      </w:pPr>
      <w:r>
        <w:t xml:space="preserve">The supplier guarantees a minimum of two (2) years of manufacturer warranty on all diagnostic equipment (items 01–03, 09, 10) and one (1) year on all consumable optical products (items 04–08). Warranty service for equipment shall be provided on-site at the Optometrist's clinic in Ethiopia Addis Ababa within forty-eight (48) hours of a service request. The supplier shall maintain a dedicated after-sales support line accessible to the Optometrist's clinical staff during standard business hours (08:00–17:00 EAT, Monday through Saturday).</w:t>
      </w:r>
    </w:p>
    <w:bookmarkEnd w:id="29"/>
    <w:bookmarkStart w:id="30" w:name="cancellation-and-modification"/>
    <w:p>
      <w:pPr>
        <w:pStyle w:val="Heading2"/>
      </w:pPr>
      <w:r>
        <w:t xml:space="preserve">8. Cancellation and Modification</w:t>
      </w:r>
    </w:p>
    <w:p>
      <w:pPr>
        <w:pStyle w:val="FirstParagraph"/>
      </w:pPr>
      <w:r>
        <w:t xml:space="preserve">This Purchase Order may be modified or cancelled only by mutual written agreement between the Optometrist's authorized procurement officer and the supplier's account manager. Any modification must be documented in a formal amendment letter referencing the original PO number PO-ETH-ADD-2025-04782. Cancellation after the supplier has confirmed production or procurement of materials will incur a 10% penalty fee on the value of affected line items.</w:t>
      </w:r>
    </w:p>
    <w:bookmarkEnd w:id="30"/>
    <w:bookmarkStart w:id="31" w:name="governing-law-and-dispute-resolution"/>
    <w:p>
      <w:pPr>
        <w:pStyle w:val="Heading2"/>
      </w:pPr>
      <w:r>
        <w:t xml:space="preserve">9. Governing Law and Dispute Resolution</w:t>
      </w:r>
    </w:p>
    <w:p>
      <w:pPr>
        <w:pStyle w:val="FirstParagraph"/>
      </w:pPr>
      <w:r>
        <w:t xml:space="preserve">This Purchase Order shall be governed by and construed in accordance with the Commercial Code of Ethiopia and applicable federal trade regulations. Any disputes arising from this Purchase Order between the Optometrist practice and the supplier shall first be attempted to be resolved through good-faith negotiation. If unresolved within thirty (30) days, the matter shall be submitted to the Commercial Court of Addis Ababa, Ethiopia Addis Ababa, for final and binding adjudication.</w:t>
      </w:r>
    </w:p>
    <w:bookmarkEnd w:id="31"/>
    <w:bookmarkStart w:id="32" w:name="authorization-and-signatures"/>
    <w:p>
      <w:pPr>
        <w:pStyle w:val="Heading2"/>
      </w:pPr>
      <w:r>
        <w:t xml:space="preserve">10. Authorization and Signatures</w:t>
      </w:r>
    </w:p>
    <w:p>
      <w:pPr>
        <w:pStyle w:val="FirstParagraph"/>
      </w:pPr>
      <w:r>
        <w:t xml:space="preserve">This Purchase Order is valid upon signature by both parties. The Optometrist's authorized signatory confirms that the funds for this Purchase Order have been allocated in the 2025 fiscal budget of the practice. The supplier's signatory confirms acceptance of all terms, conditions, delivery timelines, and quality specifications outlined in this document.</w:t>
      </w:r>
    </w:p>
    <w:p>
      <w:pPr>
        <w:pStyle w:val="BodyText"/>
      </w:pPr>
      <w:r>
        <w:rPr>
          <w:bCs/>
          <w:b/>
        </w:rPr>
        <w:t xml:space="preserve">For the Optometrist (Buyer):</w:t>
      </w:r>
      <w:r>
        <w:br/>
      </w:r>
      <w:r>
        <w:t xml:space="preserve">Dr. Selamawit Tesfaye, OD</w:t>
      </w:r>
      <w:r>
        <w:br/>
      </w:r>
      <w:r>
        <w:t xml:space="preserve">Lead Optometrist &amp; Practice Director</w:t>
      </w:r>
      <w:r>
        <w:br/>
      </w:r>
      <w:r>
        <w:t xml:space="preserve">Clear Vision Optometry Center</w:t>
      </w:r>
      <w:r>
        <w:br/>
      </w:r>
      <w:r>
        <w:t xml:space="preserve">Date: _______________</w:t>
      </w:r>
    </w:p>
    <w:p>
      <w:pPr>
        <w:pStyle w:val="BodyText"/>
      </w:pPr>
      <w:r>
        <w:rPr>
          <w:bCs/>
          <w:b/>
        </w:rPr>
        <w:t xml:space="preserve">For the Supplier (Vendor):</w:t>
      </w:r>
      <w:r>
        <w:br/>
      </w:r>
      <w:r>
        <w:t xml:space="preserve">Mr. Dawit Bekele</w:t>
      </w:r>
      <w:r>
        <w:br/>
      </w:r>
      <w:r>
        <w:t xml:space="preserve">Sales &amp; Procurement Manager</w:t>
      </w:r>
      <w:r>
        <w:br/>
      </w:r>
      <w:r>
        <w:t xml:space="preserve">EthioOptical Supply &amp; Equipment PLC</w:t>
      </w:r>
      <w:r>
        <w:br/>
      </w:r>
      <w:r>
        <w:t xml:space="preserve">Date: _______________</w:t>
      </w:r>
    </w:p>
    <w:p>
      <w:pPr>
        <w:pStyle w:val="BodyText"/>
      </w:pPr>
      <w:r>
        <w:rPr>
          <w:bCs/>
          <w:b/>
        </w:rPr>
        <w:t xml:space="preserve">OFFICIAL STAMP</w:t>
      </w:r>
    </w:p>
    <w:p>
      <w:pPr>
        <w:pStyle w:val="BodyText"/>
      </w:pPr>
      <w:r>
        <w:t xml:space="preserve">Clear Vision Optometry Center</w:t>
      </w:r>
      <w:r>
        <w:br/>
      </w:r>
      <w:r>
        <w:t xml:space="preserve">Ethiopia Addis Ababa</w:t>
      </w:r>
    </w:p>
    <w:p>
      <w:pPr>
        <w:pStyle w:val="BodyText"/>
      </w:pPr>
      <w:r>
        <w:t xml:space="preserve">— End of Purchase Order PO-ETH-ADD-2025-04782 —</w:t>
      </w:r>
    </w:p>
    <w:p>
      <w:pPr>
        <w:pStyle w:val="BodyText"/>
      </w:pPr>
      <w:r>
        <w:t xml:space="preserve">This document is the property of Clear Vision Optometry Center, Ethiopia Addis Ababa. Unauthorized reproduction is prohibited under Ethiopian intellectual property law.</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Optometrist Practice - Ethiopia Addis Ababa</dc:title>
  <dc:creator/>
  <dc:language>en</dc:language>
  <cp:keywords/>
  <dcterms:created xsi:type="dcterms:W3CDTF">2026-10-10T09:10:37Z</dcterms:created>
  <dcterms:modified xsi:type="dcterms:W3CDTF">2026-10-10T09:10:37Z</dcterms:modified>
</cp:coreProperties>
</file>

<file path=docProps/custom.xml><?xml version="1.0" encoding="utf-8"?>
<Properties xmlns="http://schemas.openxmlformats.org/officeDocument/2006/custom-properties" xmlns:vt="http://schemas.openxmlformats.org/officeDocument/2006/docPropsVTypes"/>
</file>