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Optometrist</w:t>
      </w:r>
      <w:r>
        <w:t xml:space="preserve"> </w:t>
      </w:r>
      <w:r>
        <w:t xml:space="preserve">Practice</w:t>
      </w:r>
      <w:r>
        <w:t xml:space="preserve"> </w:t>
      </w:r>
      <w:r>
        <w:t xml:space="preserve">-</w:t>
      </w:r>
      <w:r>
        <w:t xml:space="preserve"> </w:t>
      </w:r>
      <w:r>
        <w:t xml:space="preserve">Japan</w:t>
      </w:r>
      <w:r>
        <w:t xml:space="preserve"> </w:t>
      </w:r>
      <w:r>
        <w:t xml:space="preserve">Tokyo</w:t>
      </w:r>
    </w:p>
    <w:bookmarkStart w:id="26" w:name="purchase-order"/>
    <w:p>
      <w:pPr>
        <w:pStyle w:val="Heading1"/>
      </w:pPr>
      <w:r>
        <w:t xml:space="preserve">PURCHASE ORDER</w:t>
      </w:r>
    </w:p>
    <w:bookmarkStart w:id="20" w:name="purchase-order-details"/>
    <w:p>
      <w:pPr>
        <w:pStyle w:val="Heading3"/>
      </w:pPr>
      <w:r>
        <w:t xml:space="preserve">Purchase Order Details</w:t>
      </w:r>
    </w:p>
    <w:p>
      <w:pPr>
        <w:pStyle w:val="FirstParagraph"/>
      </w:pPr>
      <w:r>
        <w:rPr>
          <w:bCs/>
          <w:b/>
        </w:rPr>
        <w:t xml:space="preserve">Purchase Order No.:</w:t>
      </w:r>
      <w:r>
        <w:t xml:space="preserve"> </w:t>
      </w:r>
      <w:r>
        <w:t xml:space="preserve">PO-JT-2025-04872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05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Japanese Yen (JPY)</w:t>
      </w:r>
    </w:p>
    <w:p>
      <w:pPr>
        <w:pStyle w:val="BodyText"/>
      </w:pPr>
      <w:r>
        <w:rPr>
          <w:bCs/>
          <w:b/>
        </w:rPr>
        <w:t xml:space="preserve">Incoterms:</w:t>
      </w:r>
      <w:r>
        <w:t xml:space="preserve"> </w:t>
      </w:r>
      <w:r>
        <w:t xml:space="preserve">DDP (Delivered Duty Paid) – Tokyo, Japan</w:t>
      </w:r>
    </w:p>
    <w:bookmarkEnd w:id="20"/>
    <w:bookmarkStart w:id="21" w:name="buyer-information"/>
    <w:p>
      <w:pPr>
        <w:pStyle w:val="Heading3"/>
      </w:pPr>
      <w:r>
        <w:t xml:space="preserve">Buyer Information</w:t>
      </w:r>
    </w:p>
    <w:p>
      <w:pPr>
        <w:pStyle w:val="FirstParagraph"/>
      </w:pPr>
      <w:r>
        <w:rPr>
          <w:bCs/>
          <w:b/>
        </w:rPr>
        <w:t xml:space="preserve">Company:</w:t>
      </w:r>
      <w:r>
        <w:t xml:space="preserve"> </w:t>
      </w:r>
      <w:r>
        <w:t xml:space="preserve">Shinjuku Vision Optometrist Clinic Co., Ltd.</w:t>
      </w:r>
    </w:p>
    <w:p>
      <w:pPr>
        <w:pStyle w:val="BodyText"/>
      </w:pPr>
      <w:r>
        <w:rPr>
          <w:bCs/>
          <w:b/>
        </w:rPr>
        <w:t xml:space="preserve">Address:</w:t>
      </w:r>
      <w:r>
        <w:t xml:space="preserve"> </w:t>
      </w:r>
      <w:r>
        <w:t xml:space="preserve">4-2-18 Shinjuku, Shinjuku-ku, Tokyo 160-0022, Japan Tokyo</w:t>
      </w:r>
    </w:p>
    <w:p>
      <w:pPr>
        <w:pStyle w:val="BodyText"/>
      </w:pPr>
      <w:r>
        <w:rPr>
          <w:bCs/>
          <w:b/>
        </w:rPr>
        <w:t xml:space="preserve">Phone:</w:t>
      </w:r>
      <w:r>
        <w:t xml:space="preserve"> </w:t>
      </w:r>
      <w:r>
        <w:t xml:space="preserve">+81-3-5274-8890</w:t>
      </w:r>
    </w:p>
    <w:p>
      <w:pPr>
        <w:pStyle w:val="BodyText"/>
      </w:pPr>
      <w:r>
        <w:rPr>
          <w:bCs/>
          <w:b/>
        </w:rPr>
        <w:t xml:space="preserve">Email:</w:t>
      </w:r>
      <w:r>
        <w:t xml:space="preserve"> </w:t>
      </w:r>
      <w:r>
        <w:t xml:space="preserve">procurement@shinjukuvision.jp</w:t>
      </w:r>
    </w:p>
    <w:p>
      <w:pPr>
        <w:pStyle w:val="BodyText"/>
      </w:pPr>
      <w:r>
        <w:rPr>
          <w:bCs/>
          <w:b/>
        </w:rPr>
        <w:t xml:space="preserve">Representative:</w:t>
      </w:r>
      <w:r>
        <w:t xml:space="preserve"> </w:t>
      </w:r>
      <w:r>
        <w:t xml:space="preserve">Dr. Kenji Tanaka, Lead Optometrist</w:t>
      </w:r>
    </w:p>
    <w:p>
      <w:pPr>
        <w:pStyle w:val="BodyText"/>
      </w:pPr>
      <w:r>
        <w:rPr>
          <w:bCs/>
          <w:b/>
        </w:rPr>
        <w:t xml:space="preserve">Tax ID (Tōhyō番号):</w:t>
      </w:r>
      <w:r>
        <w:t xml:space="preserve"> </w:t>
      </w:r>
      <w:r>
        <w:t xml:space="preserve">40-21-00987-6543</w:t>
      </w:r>
    </w:p>
    <w:bookmarkEnd w:id="21"/>
    <w:bookmarkStart w:id="22" w:name="supplier-information"/>
    <w:p>
      <w:pPr>
        <w:pStyle w:val="Heading2"/>
      </w:pPr>
      <w:r>
        <w:t xml:space="preserve">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OptiCore Global Supplies K.K.</w:t>
            </w:r>
          </w:p>
        </w:tc>
      </w:tr>
      <w:tr>
        <w:tc>
          <w:tcPr/>
          <w:p>
            <w:pPr>
              <w:pStyle w:val="Compact"/>
              <w:jc w:val="left"/>
            </w:pPr>
            <w:r>
              <w:t xml:space="preserve">Address</w:t>
            </w:r>
          </w:p>
        </w:tc>
        <w:tc>
          <w:tcPr/>
          <w:p>
            <w:pPr>
              <w:pStyle w:val="Compact"/>
              <w:jc w:val="left"/>
            </w:pPr>
            <w:r>
              <w:t xml:space="preserve">7-1-3 Marunouchi, Chiyoda-ku, Tokyo 100-0005, Japan Tokyo</w:t>
            </w:r>
          </w:p>
        </w:tc>
      </w:tr>
      <w:tr>
        <w:tc>
          <w:tcPr/>
          <w:p>
            <w:pPr>
              <w:pStyle w:val="Compact"/>
              <w:jc w:val="left"/>
            </w:pPr>
            <w:r>
              <w:t xml:space="preserve">Contact Person</w:t>
            </w:r>
          </w:p>
        </w:tc>
        <w:tc>
          <w:tcPr/>
          <w:p>
            <w:pPr>
              <w:pStyle w:val="Compact"/>
              <w:jc w:val="left"/>
            </w:pPr>
            <w:r>
              <w:t xml:space="preserve">Ms. Yuki Sato, Regional Sales Director</w:t>
            </w:r>
          </w:p>
        </w:tc>
      </w:tr>
      <w:tr>
        <w:tc>
          <w:tcPr/>
          <w:p>
            <w:pPr>
              <w:pStyle w:val="Compact"/>
              <w:jc w:val="left"/>
            </w:pPr>
            <w:r>
              <w:t xml:space="preserve">Phone</w:t>
            </w:r>
          </w:p>
        </w:tc>
        <w:tc>
          <w:tcPr/>
          <w:p>
            <w:pPr>
              <w:pStyle w:val="Compact"/>
              <w:jc w:val="left"/>
            </w:pPr>
            <w:r>
              <w:t xml:space="preserve">+81-3-6271-4455</w:t>
            </w:r>
          </w:p>
        </w:tc>
      </w:tr>
      <w:tr>
        <w:tc>
          <w:tcPr/>
          <w:p>
            <w:pPr>
              <w:pStyle w:val="Compact"/>
              <w:jc w:val="left"/>
            </w:pPr>
            <w:r>
              <w:t xml:space="preserve">Email</w:t>
            </w:r>
          </w:p>
        </w:tc>
        <w:tc>
          <w:tcPr/>
          <w:p>
            <w:pPr>
              <w:pStyle w:val="Compact"/>
              <w:jc w:val="left"/>
            </w:pPr>
            <w:r>
              <w:t xml:space="preserve">sales.optocore@opticore-global.jp</w:t>
            </w:r>
          </w:p>
        </w:tc>
      </w:tr>
      <w:tr>
        <w:tc>
          <w:tcPr/>
          <w:p>
            <w:pPr>
              <w:pStyle w:val="Compact"/>
              <w:jc w:val="left"/>
            </w:pPr>
            <w:r>
              <w:t xml:space="preserve">Supplier Tax ID</w:t>
            </w:r>
          </w:p>
        </w:tc>
        <w:tc>
          <w:tcPr/>
          <w:p>
            <w:pPr>
              <w:pStyle w:val="Compact"/>
              <w:jc w:val="left"/>
            </w:pPr>
            <w:r>
              <w:t xml:space="preserve">20-18-00456-7891</w:t>
            </w:r>
          </w:p>
        </w:tc>
      </w:tr>
    </w:tbl>
    <w:bookmarkEnd w:id="22"/>
    <w:bookmarkStart w:id="23" w:name="X09153b3bec7be582c67d290678bb0800cc2fc3b"/>
    <w:p>
      <w:pPr>
        <w:pStyle w:val="Heading2"/>
      </w:pPr>
      <w:r>
        <w:t xml:space="preserve">Line Items – Optometrist Equipment and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Auto Refractor / Keratometer (Nidek ARK-530A) – for optometrist diagnostic use</w:t>
            </w:r>
          </w:p>
        </w:tc>
        <w:tc>
          <w:tcPr/>
          <w:p>
            <w:pPr>
              <w:pStyle w:val="Compact"/>
              <w:jc w:val="left"/>
            </w:pPr>
            <w:r>
              <w:t xml:space="preserve">2</w:t>
            </w:r>
          </w:p>
        </w:tc>
        <w:tc>
          <w:tcPr/>
          <w:p>
            <w:pPr>
              <w:pStyle w:val="Compact"/>
              <w:jc w:val="left"/>
            </w:pPr>
            <w:r>
              <w:t xml:space="preserve">Unit</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02</w:t>
            </w:r>
          </w:p>
        </w:tc>
        <w:tc>
          <w:tcPr/>
          <w:p>
            <w:pPr>
              <w:pStyle w:val="Compact"/>
              <w:jc w:val="left"/>
            </w:pPr>
            <w:r>
              <w:t xml:space="preserve">Phoropter (Hartinger 4000) – standard optometrist examination instrument</w:t>
            </w:r>
          </w:p>
        </w:tc>
        <w:tc>
          <w:tcPr/>
          <w:p>
            <w:pPr>
              <w:pStyle w:val="Compact"/>
              <w:jc w:val="left"/>
            </w:pPr>
            <w:r>
              <w:t xml:space="preserve">3</w:t>
            </w:r>
          </w:p>
        </w:tc>
        <w:tc>
          <w:tcPr/>
          <w:p>
            <w:pPr>
              <w:pStyle w:val="Compact"/>
              <w:jc w:val="left"/>
            </w:pPr>
            <w:r>
              <w:t xml:space="preserve">Unit</w:t>
            </w:r>
          </w:p>
        </w:tc>
        <w:tc>
          <w:tcPr/>
          <w:p>
            <w:pPr>
              <w:pStyle w:val="Compact"/>
              <w:jc w:val="left"/>
            </w:pPr>
            <w:r>
              <w:t xml:space="preserve">920,000</w:t>
            </w:r>
          </w:p>
        </w:tc>
        <w:tc>
          <w:tcPr/>
          <w:p>
            <w:pPr>
              <w:pStyle w:val="Compact"/>
              <w:jc w:val="left"/>
            </w:pPr>
            <w:r>
              <w:t xml:space="preserve">2,760,000</w:t>
            </w:r>
          </w:p>
        </w:tc>
      </w:tr>
      <w:tr>
        <w:tc>
          <w:tcPr/>
          <w:p>
            <w:pPr>
              <w:pStyle w:val="Compact"/>
              <w:jc w:val="left"/>
            </w:pPr>
            <w:r>
              <w:t xml:space="preserve">03</w:t>
            </w:r>
          </w:p>
        </w:tc>
        <w:tc>
          <w:tcPr/>
          <w:p>
            <w:pPr>
              <w:pStyle w:val="Compact"/>
              <w:jc w:val="left"/>
            </w:pPr>
            <w:r>
              <w:t xml:space="preserve">Slit Lamp Biomicroscope (Topcon SL-18D) – for anterior segment examination</w:t>
            </w:r>
          </w:p>
        </w:tc>
        <w:tc>
          <w:tcPr/>
          <w:p>
            <w:pPr>
              <w:pStyle w:val="Compact"/>
              <w:jc w:val="left"/>
            </w:pPr>
            <w:r>
              <w:t xml:space="preserve">2</w:t>
            </w:r>
          </w:p>
        </w:tc>
        <w:tc>
          <w:tcPr/>
          <w:p>
            <w:pPr>
              <w:pStyle w:val="Compact"/>
              <w:jc w:val="left"/>
            </w:pPr>
            <w:r>
              <w:t xml:space="preserve">Unit</w:t>
            </w:r>
          </w:p>
        </w:tc>
        <w:tc>
          <w:tcPr/>
          <w:p>
            <w:pPr>
              <w:pStyle w:val="Compact"/>
              <w:jc w:val="left"/>
            </w:pPr>
            <w:r>
              <w:t xml:space="preserve">1,240,000</w:t>
            </w:r>
          </w:p>
        </w:tc>
        <w:tc>
          <w:tcPr/>
          <w:p>
            <w:pPr>
              <w:pStyle w:val="Compact"/>
              <w:jc w:val="left"/>
            </w:pPr>
            <w:r>
              <w:t xml:space="preserve">2,480,000</w:t>
            </w:r>
          </w:p>
        </w:tc>
      </w:tr>
      <w:tr>
        <w:tc>
          <w:tcPr/>
          <w:p>
            <w:pPr>
              <w:pStyle w:val="Compact"/>
              <w:jc w:val="left"/>
            </w:pPr>
            <w:r>
              <w:t xml:space="preserve">04</w:t>
            </w:r>
          </w:p>
        </w:tc>
        <w:tc>
          <w:tcPr/>
          <w:p>
            <w:pPr>
              <w:pStyle w:val="Compact"/>
              <w:jc w:val="left"/>
            </w:pPr>
            <w:r>
              <w:t xml:space="preserve">Non-Mydriatic Fundus Camera (Heine Beta 2) – retinal imaging for optometrist</w:t>
            </w:r>
          </w:p>
        </w:tc>
        <w:tc>
          <w:tcPr/>
          <w:p>
            <w:pPr>
              <w:pStyle w:val="Compact"/>
              <w:jc w:val="left"/>
            </w:pPr>
            <w:r>
              <w:t xml:space="preserve">2</w:t>
            </w:r>
          </w:p>
        </w:tc>
        <w:tc>
          <w:tcPr/>
          <w:p>
            <w:pPr>
              <w:pStyle w:val="Compact"/>
              <w:jc w:val="left"/>
            </w:pPr>
            <w:r>
              <w:t xml:space="preserve">Unit</w:t>
            </w:r>
          </w:p>
        </w:tc>
        <w:tc>
          <w:tcPr/>
          <w:p>
            <w:pPr>
              <w:pStyle w:val="Compact"/>
              <w:jc w:val="left"/>
            </w:pPr>
            <w:r>
              <w:t xml:space="preserve">1,680,000</w:t>
            </w:r>
          </w:p>
        </w:tc>
        <w:tc>
          <w:tcPr/>
          <w:p>
            <w:pPr>
              <w:pStyle w:val="Compact"/>
              <w:jc w:val="left"/>
            </w:pPr>
            <w:r>
              <w:t xml:space="preserve">3,360,000</w:t>
            </w:r>
          </w:p>
        </w:tc>
      </w:tr>
      <w:tr>
        <w:tc>
          <w:tcPr/>
          <w:p>
            <w:pPr>
              <w:pStyle w:val="Compact"/>
              <w:jc w:val="left"/>
            </w:pPr>
            <w:r>
              <w:t xml:space="preserve">05</w:t>
            </w:r>
          </w:p>
        </w:tc>
        <w:tc>
          <w:tcPr/>
          <w:p>
            <w:pPr>
              <w:pStyle w:val="Compact"/>
              <w:jc w:val="left"/>
            </w:pPr>
            <w:r>
              <w:t xml:space="preserve">Optical Lenses – Single Vision, 1.67 Index (various prescriptions) – bulk order</w:t>
            </w:r>
          </w:p>
        </w:tc>
        <w:tc>
          <w:tcPr/>
          <w:p>
            <w:pPr>
              <w:pStyle w:val="Compact"/>
              <w:jc w:val="left"/>
            </w:pPr>
            <w:r>
              <w:t xml:space="preserve">200</w:t>
            </w:r>
          </w:p>
        </w:tc>
        <w:tc>
          <w:tcPr/>
          <w:p>
            <w:pPr>
              <w:pStyle w:val="Compact"/>
              <w:jc w:val="left"/>
            </w:pPr>
            <w:r>
              <w:t xml:space="preserve">Pairs</w:t>
            </w:r>
          </w:p>
        </w:tc>
        <w:tc>
          <w:tcPr/>
          <w:p>
            <w:pPr>
              <w:pStyle w:val="Compact"/>
              <w:jc w:val="left"/>
            </w:pPr>
            <w:r>
              <w:t xml:space="preserve">12,500</w:t>
            </w:r>
          </w:p>
        </w:tc>
        <w:tc>
          <w:tcPr/>
          <w:p>
            <w:pPr>
              <w:pStyle w:val="Compact"/>
              <w:jc w:val="left"/>
            </w:pPr>
            <w:r>
              <w:t xml:space="preserve">2,500,000</w:t>
            </w:r>
          </w:p>
        </w:tc>
      </w:tr>
      <w:tr>
        <w:tc>
          <w:tcPr/>
          <w:p>
            <w:pPr>
              <w:pStyle w:val="Compact"/>
              <w:jc w:val="left"/>
            </w:pPr>
            <w:r>
              <w:t xml:space="preserve">06</w:t>
            </w:r>
          </w:p>
        </w:tc>
        <w:tc>
          <w:tcPr/>
          <w:p>
            <w:pPr>
              <w:pStyle w:val="Compact"/>
              <w:jc w:val="left"/>
            </w:pPr>
            <w:r>
              <w:t xml:space="preserve">Progressive Multifocal Lenses – 1.67 Index, premium optometrist-grade</w:t>
            </w:r>
          </w:p>
        </w:tc>
        <w:tc>
          <w:tcPr/>
          <w:p>
            <w:pPr>
              <w:pStyle w:val="Compact"/>
              <w:jc w:val="left"/>
            </w:pPr>
            <w:r>
              <w:t xml:space="preserve">80</w:t>
            </w:r>
          </w:p>
        </w:tc>
        <w:tc>
          <w:tcPr/>
          <w:p>
            <w:pPr>
              <w:pStyle w:val="Compact"/>
              <w:jc w:val="left"/>
            </w:pPr>
            <w:r>
              <w:t xml:space="preserve">Pairs</w:t>
            </w:r>
          </w:p>
        </w:tc>
        <w:tc>
          <w:tcPr/>
          <w:p>
            <w:pPr>
              <w:pStyle w:val="Compact"/>
              <w:jc w:val="left"/>
            </w:pPr>
            <w:r>
              <w:t xml:space="preserve">38,000</w:t>
            </w:r>
          </w:p>
        </w:tc>
        <w:tc>
          <w:tcPr/>
          <w:p>
            <w:pPr>
              <w:pStyle w:val="Compact"/>
              <w:jc w:val="left"/>
            </w:pPr>
            <w:r>
              <w:t xml:space="preserve">3,040,000</w:t>
            </w:r>
          </w:p>
        </w:tc>
      </w:tr>
      <w:tr>
        <w:tc>
          <w:tcPr/>
          <w:p>
            <w:pPr>
              <w:pStyle w:val="Compact"/>
              <w:jc w:val="left"/>
            </w:pPr>
            <w:r>
              <w:t xml:space="preserve">07</w:t>
            </w:r>
          </w:p>
        </w:tc>
        <w:tc>
          <w:tcPr/>
          <w:p>
            <w:pPr>
              <w:pStyle w:val="Compact"/>
              <w:jc w:val="left"/>
            </w:pPr>
            <w:r>
              <w:t xml:space="preserve">Photochromic Lenses – Transitions SignatureGen – for outdoor use in Japan Tokyo</w:t>
            </w:r>
          </w:p>
        </w:tc>
        <w:tc>
          <w:tcPr/>
          <w:p>
            <w:pPr>
              <w:pStyle w:val="Compact"/>
              <w:jc w:val="left"/>
            </w:pPr>
            <w:r>
              <w:t xml:space="preserve">60</w:t>
            </w:r>
          </w:p>
        </w:tc>
        <w:tc>
          <w:tcPr/>
          <w:p>
            <w:pPr>
              <w:pStyle w:val="Compact"/>
              <w:jc w:val="left"/>
            </w:pPr>
            <w:r>
              <w:t xml:space="preserve">Pairs</w:t>
            </w:r>
          </w:p>
        </w:tc>
        <w:tc>
          <w:tcPr/>
          <w:p>
            <w:pPr>
              <w:pStyle w:val="Compact"/>
              <w:jc w:val="left"/>
            </w:pPr>
            <w:r>
              <w:t xml:space="preserve">22,000</w:t>
            </w:r>
          </w:p>
        </w:tc>
        <w:tc>
          <w:tcPr/>
          <w:p>
            <w:pPr>
              <w:pStyle w:val="Compact"/>
              <w:jc w:val="left"/>
            </w:pPr>
            <w:r>
              <w:t xml:space="preserve">1,320,000</w:t>
            </w:r>
          </w:p>
        </w:tc>
      </w:tr>
      <w:tr>
        <w:tc>
          <w:tcPr/>
          <w:p>
            <w:pPr>
              <w:pStyle w:val="Compact"/>
              <w:jc w:val="left"/>
            </w:pPr>
            <w:r>
              <w:t xml:space="preserve">08</w:t>
            </w:r>
          </w:p>
        </w:tc>
        <w:tc>
          <w:tcPr/>
          <w:p>
            <w:pPr>
              <w:pStyle w:val="Compact"/>
              <w:jc w:val="left"/>
            </w:pPr>
            <w:r>
              <w:t xml:space="preserve">Optical Frames – Titanium, Japanese design (various styles) – retail stock</w:t>
            </w:r>
          </w:p>
        </w:tc>
        <w:tc>
          <w:tcPr/>
          <w:p>
            <w:pPr>
              <w:pStyle w:val="Compact"/>
              <w:jc w:val="left"/>
            </w:pPr>
            <w:r>
              <w:t xml:space="preserve">150</w:t>
            </w:r>
          </w:p>
        </w:tc>
        <w:tc>
          <w:tcPr/>
          <w:p>
            <w:pPr>
              <w:pStyle w:val="Compact"/>
              <w:jc w:val="left"/>
            </w:pPr>
            <w:r>
              <w:t xml:space="preserve">Units</w:t>
            </w:r>
          </w:p>
        </w:tc>
        <w:tc>
          <w:tcPr/>
          <w:p>
            <w:pPr>
              <w:pStyle w:val="Compact"/>
              <w:jc w:val="left"/>
            </w:pPr>
            <w:r>
              <w:t xml:space="preserve">18,500</w:t>
            </w:r>
          </w:p>
        </w:tc>
        <w:tc>
          <w:tcPr/>
          <w:p>
            <w:pPr>
              <w:pStyle w:val="Compact"/>
              <w:jc w:val="left"/>
            </w:pPr>
            <w:r>
              <w:t xml:space="preserve">2,775,000</w:t>
            </w:r>
          </w:p>
        </w:tc>
      </w:tr>
      <w:tr>
        <w:tc>
          <w:tcPr/>
          <w:p>
            <w:pPr>
              <w:pStyle w:val="Compact"/>
              <w:jc w:val="left"/>
            </w:pPr>
            <w:r>
              <w:t xml:space="preserve">09</w:t>
            </w:r>
          </w:p>
        </w:tc>
        <w:tc>
          <w:tcPr/>
          <w:p>
            <w:pPr>
              <w:pStyle w:val="Compact"/>
              <w:jc w:val="left"/>
            </w:pPr>
            <w:r>
              <w:t xml:space="preserve">Contact Lens Solution (500ml) – for optometrist patient aftercare</w:t>
            </w:r>
          </w:p>
        </w:tc>
        <w:tc>
          <w:tcPr/>
          <w:p>
            <w:pPr>
              <w:pStyle w:val="Compact"/>
              <w:jc w:val="left"/>
            </w:pPr>
            <w:r>
              <w:t xml:space="preserve">300</w:t>
            </w:r>
          </w:p>
        </w:tc>
        <w:tc>
          <w:tcPr/>
          <w:p>
            <w:pPr>
              <w:pStyle w:val="Compact"/>
              <w:jc w:val="left"/>
            </w:pPr>
            <w:r>
              <w:t xml:space="preserve">Bottles</w:t>
            </w:r>
          </w:p>
        </w:tc>
        <w:tc>
          <w:tcPr/>
          <w:p>
            <w:pPr>
              <w:pStyle w:val="Compact"/>
              <w:jc w:val="left"/>
            </w:pPr>
            <w:r>
              <w:t xml:space="preserve">1,800</w:t>
            </w:r>
          </w:p>
        </w:tc>
        <w:tc>
          <w:tcPr/>
          <w:p>
            <w:pPr>
              <w:pStyle w:val="Compact"/>
              <w:jc w:val="left"/>
            </w:pPr>
            <w:r>
              <w:t xml:space="preserve">540,000</w:t>
            </w:r>
          </w:p>
        </w:tc>
      </w:tr>
      <w:tr>
        <w:tc>
          <w:tcPr/>
          <w:p>
            <w:pPr>
              <w:pStyle w:val="Compact"/>
              <w:jc w:val="left"/>
            </w:pPr>
            <w:r>
              <w:t xml:space="preserve">10</w:t>
            </w:r>
          </w:p>
        </w:tc>
        <w:tc>
          <w:tcPr/>
          <w:p>
            <w:pPr>
              <w:pStyle w:val="Compact"/>
              <w:jc w:val="left"/>
            </w:pPr>
            <w:r>
              <w:t xml:space="preserve">Visual Acuity Charts (Snellen &amp; LogMAR) – wall-mounted, optometrist standard</w:t>
            </w:r>
          </w:p>
        </w:tc>
        <w:tc>
          <w:tcPr/>
          <w:p>
            <w:pPr>
              <w:pStyle w:val="Compact"/>
              <w:jc w:val="left"/>
            </w:pPr>
            <w:r>
              <w:t xml:space="preserve">10</w:t>
            </w:r>
          </w:p>
        </w:tc>
        <w:tc>
          <w:tcPr/>
          <w:p>
            <w:pPr>
              <w:pStyle w:val="Compact"/>
              <w:jc w:val="left"/>
            </w:pPr>
            <w:r>
              <w:t xml:space="preserve">Sets</w:t>
            </w:r>
          </w:p>
        </w:tc>
        <w:tc>
          <w:tcPr/>
          <w:p>
            <w:pPr>
              <w:pStyle w:val="Compact"/>
              <w:jc w:val="left"/>
            </w:pPr>
            <w:r>
              <w:t xml:space="preserve">45,000</w:t>
            </w:r>
          </w:p>
        </w:tc>
        <w:tc>
          <w:tcPr/>
          <w:p>
            <w:pPr>
              <w:pStyle w:val="Compact"/>
              <w:jc w:val="left"/>
            </w:pPr>
            <w:r>
              <w:t xml:space="preserve">450,000</w:t>
            </w:r>
          </w:p>
        </w:tc>
      </w:tr>
      <w:tr>
        <w:tc>
          <w:tcPr/>
          <w:p>
            <w:pPr>
              <w:pStyle w:val="Compact"/>
              <w:jc w:val="left"/>
            </w:pPr>
            <w:r>
              <w:t xml:space="preserve">11</w:t>
            </w:r>
          </w:p>
        </w:tc>
        <w:tc>
          <w:tcPr/>
          <w:p>
            <w:pPr>
              <w:pStyle w:val="Compact"/>
              <w:jc w:val="left"/>
            </w:pPr>
            <w:r>
              <w:t xml:space="preserve">Eye Chart Illumination System – LED, optometrist examination room</w:t>
            </w:r>
          </w:p>
        </w:tc>
        <w:tc>
          <w:tcPr/>
          <w:p>
            <w:pPr>
              <w:pStyle w:val="Compact"/>
              <w:jc w:val="left"/>
            </w:pPr>
            <w:r>
              <w:t xml:space="preserve">5</w:t>
            </w:r>
          </w:p>
        </w:tc>
        <w:tc>
          <w:tcPr/>
          <w:p>
            <w:pPr>
              <w:pStyle w:val="Compact"/>
              <w:jc w:val="left"/>
            </w:pPr>
            <w:r>
              <w:t xml:space="preserve">Units</w:t>
            </w:r>
          </w:p>
        </w:tc>
        <w:tc>
          <w:tcPr/>
          <w:p>
            <w:pPr>
              <w:pStyle w:val="Compact"/>
              <w:jc w:val="left"/>
            </w:pPr>
            <w:r>
              <w:t xml:space="preserve">32,000</w:t>
            </w:r>
          </w:p>
        </w:tc>
        <w:tc>
          <w:tcPr/>
          <w:p>
            <w:pPr>
              <w:pStyle w:val="Compact"/>
              <w:jc w:val="left"/>
            </w:pPr>
            <w:r>
              <w:t xml:space="preserve">160,000</w:t>
            </w:r>
          </w:p>
        </w:tc>
      </w:tr>
      <w:tr>
        <w:tc>
          <w:tcPr/>
          <w:p>
            <w:pPr>
              <w:pStyle w:val="Compact"/>
              <w:jc w:val="left"/>
            </w:pPr>
            <w:r>
              <w:t xml:space="preserve">12</w:t>
            </w:r>
          </w:p>
        </w:tc>
        <w:tc>
          <w:tcPr/>
          <w:p>
            <w:pPr>
              <w:pStyle w:val="Compact"/>
              <w:jc w:val="left"/>
            </w:pPr>
            <w:r>
              <w:t xml:space="preserve">Patient Examination Chairs – adjustable, optometrist clinic grade</w:t>
            </w:r>
          </w:p>
        </w:tc>
        <w:tc>
          <w:tcPr/>
          <w:p>
            <w:pPr>
              <w:pStyle w:val="Compact"/>
              <w:jc w:val="left"/>
            </w:pPr>
            <w:r>
              <w:t xml:space="preserve">4</w:t>
            </w:r>
          </w:p>
        </w:tc>
        <w:tc>
          <w:tcPr/>
          <w:p>
            <w:pPr>
              <w:pStyle w:val="Compact"/>
              <w:jc w:val="left"/>
            </w:pPr>
            <w:r>
              <w:t xml:space="preserve">Units</w:t>
            </w:r>
          </w:p>
        </w:tc>
        <w:tc>
          <w:tcPr/>
          <w:p>
            <w:pPr>
              <w:pStyle w:val="Compact"/>
              <w:jc w:val="left"/>
            </w:pPr>
            <w:r>
              <w:t xml:space="preserve">185,000</w:t>
            </w:r>
          </w:p>
        </w:tc>
        <w:tc>
          <w:tcPr/>
          <w:p>
            <w:pPr>
              <w:pStyle w:val="Compact"/>
              <w:jc w:val="left"/>
            </w:pPr>
            <w:r>
              <w:t xml:space="preserve">740,000</w:t>
            </w:r>
          </w:p>
        </w:tc>
      </w:tr>
      <w:tr>
        <w:tc>
          <w:tcPr>
            <w:gridSpan w:val="5"/>
          </w:tcPr>
          <w:p>
            <w:pPr>
              <w:pStyle w:val="Compact"/>
              <w:jc w:val="left"/>
            </w:pPr>
            <w:r>
              <w:t xml:space="preserve">SUBTOTAL</w:t>
            </w:r>
          </w:p>
        </w:tc>
        <w:tc>
          <w:tcPr/>
          <w:p>
            <w:pPr>
              <w:pStyle w:val="Compact"/>
              <w:jc w:val="left"/>
            </w:pPr>
            <w:r>
              <w:t xml:space="preserve">23,825,000</w:t>
            </w:r>
          </w:p>
        </w:tc>
      </w:tr>
      <w:tr>
        <w:tc>
          <w:tcPr>
            <w:gridSpan w:val="5"/>
          </w:tcPr>
          <w:p>
            <w:pPr>
              <w:pStyle w:val="Compact"/>
              <w:jc w:val="left"/>
            </w:pPr>
            <w:r>
              <w:t xml:space="preserve">Consumption Tax (10%)</w:t>
            </w:r>
          </w:p>
        </w:tc>
        <w:tc>
          <w:tcPr/>
          <w:p>
            <w:pPr>
              <w:pStyle w:val="Compact"/>
              <w:jc w:val="left"/>
            </w:pPr>
            <w:r>
              <w:t xml:space="preserve">2,382,500</w:t>
            </w:r>
          </w:p>
        </w:tc>
      </w:tr>
      <w:tr>
        <w:tc>
          <w:tcPr>
            <w:gridSpan w:val="5"/>
          </w:tcPr>
          <w:p>
            <w:pPr>
              <w:pStyle w:val="Compact"/>
              <w:jc w:val="left"/>
            </w:pPr>
            <w:r>
              <w:t xml:space="preserve">GRAND TOTAL (JPY)</w:t>
            </w:r>
          </w:p>
        </w:tc>
        <w:tc>
          <w:tcPr/>
          <w:p>
            <w:pPr>
              <w:pStyle w:val="Compact"/>
              <w:jc w:val="left"/>
            </w:pPr>
            <w:r>
              <w:t xml:space="preserve">26,207,500</w:t>
            </w:r>
          </w:p>
        </w:tc>
      </w:tr>
    </w:tbl>
    <w:bookmarkEnd w:id="23"/>
    <w:bookmarkStart w:id="24" w:name="terms-and-conditions"/>
    <w:p>
      <w:pPr>
        <w:pStyle w:val="Heading2"/>
      </w:pPr>
      <w:r>
        <w:t xml:space="preserve">Terms and Conditions</w:t>
      </w:r>
    </w:p>
    <w:p>
      <w:pPr>
        <w:pStyle w:val="FirstParagraph"/>
      </w:pPr>
      <w:r>
        <w:t xml:space="preserve">This Purchase Order is issued by Shinjuku Vision Optometrist Clinic Co., Ltd., a licensed optometrist practice registered in Japan Tokyo, and governs the procurement of all optical diagnostic equipment, lenses, frames, and patient care supplies listed above. The supplier, OptiCore Global Supplies K.K., acknowledges acceptance of all terms herein by signing this Purchase Order document.</w:t>
      </w:r>
    </w:p>
    <w:p>
      <w:pPr>
        <w:pStyle w:val="BodyText"/>
      </w:pPr>
      <w:r>
        <w:rPr>
          <w:bCs/>
          <w:b/>
        </w:rPr>
        <w:t xml:space="preserve">1. Delivery:</w:t>
      </w:r>
      <w:r>
        <w:t xml:space="preserve"> </w:t>
      </w:r>
      <w:r>
        <w:t xml:space="preserve">All items shall be delivered to the optometrist clinic premises at 4-2-18 Shinjuku, Shinjuku-ku, Tokyo 160-0022, Japan Tokyo, no later than 05 July 2025. Delivery shall be made between 09:00 and 17:00 JST on business days. The supplier is responsible for all packaging, insurance, and freight charges up to the delivery point in Japan Tokyo.</w:t>
      </w:r>
    </w:p>
    <w:p>
      <w:pPr>
        <w:pStyle w:val="BodyText"/>
      </w:pPr>
      <w:r>
        <w:rPr>
          <w:bCs/>
          <w:b/>
        </w:rPr>
        <w:t xml:space="preserve">2. Quality Assurance:</w:t>
      </w:r>
      <w:r>
        <w:t xml:space="preserve"> </w:t>
      </w:r>
      <w:r>
        <w:t xml:space="preserve">All optometrist-grade equipment must comply with Japanese Medical Device Act (Kikaku-hō) regulations and bear the appropriate PMDA certification. Lenses and frames must meet JIS (Japanese Industrial Standards) for optical accuracy. The optometrist clinic reserves the right to reject any item that does not meet the specified quality parameters or arrives damaged.</w:t>
      </w:r>
    </w:p>
    <w:p>
      <w:pPr>
        <w:pStyle w:val="BodyText"/>
      </w:pPr>
      <w:r>
        <w:rPr>
          <w:bCs/>
          <w:b/>
        </w:rPr>
        <w:t xml:space="preserve">3. Payment:</w:t>
      </w:r>
      <w:r>
        <w:t xml:space="preserve"> </w:t>
      </w:r>
      <w:r>
        <w:t xml:space="preserve">Payment of the full Purchase Order amount of JPY 26,207,500 shall be made via bank transfer within thirty (30) calendar days of the date of invoice issuance, provided that all goods have been received and inspected by the optometrist clinic's procurement team. Bank details: Shinjuku Vision Optometrist Clinic Co., Ltd., Bank of Tokyo-Mitsubishi UFJ, Account No. 0048721, Branch: Shinjuku.</w:t>
      </w:r>
    </w:p>
    <w:p>
      <w:pPr>
        <w:pStyle w:val="BodyText"/>
      </w:pPr>
      <w:r>
        <w:rPr>
          <w:bCs/>
          <w:b/>
        </w:rPr>
        <w:t xml:space="preserve">4. Warranties:</w:t>
      </w:r>
      <w:r>
        <w:t xml:space="preserve"> </w:t>
      </w:r>
      <w:r>
        <w:t xml:space="preserve">All diagnostic instruments carry a minimum two-year manufacturer warranty. Optical lenses carry a one-year warranty against manufacturing defects. The supplier shall provide full replacement or repair service for any defective optometrist equipment within the warranty period at no additional cost to the buyer.</w:t>
      </w:r>
    </w:p>
    <w:p>
      <w:pPr>
        <w:pStyle w:val="BodyText"/>
      </w:pPr>
      <w:r>
        <w:rPr>
          <w:bCs/>
          <w:b/>
        </w:rPr>
        <w:t xml:space="preserve">5. Cancellation and Modification:</w:t>
      </w:r>
      <w:r>
        <w:t xml:space="preserve"> </w:t>
      </w:r>
      <w:r>
        <w:t xml:space="preserve">This Purchase Order may be modified or cancelled in writing by either party up to fourteen (14) days prior to the required delivery date. Cancellation after this period may incur a penalty of 15% of the total Purchase Order value, as agreed upon by both parties.</w:t>
      </w:r>
    </w:p>
    <w:p>
      <w:pPr>
        <w:pStyle w:val="BodyText"/>
      </w:pPr>
      <w:r>
        <w:rPr>
          <w:bCs/>
          <w:b/>
        </w:rPr>
        <w:t xml:space="preserve">6. Governing Law:</w:t>
      </w:r>
      <w:r>
        <w:t xml:space="preserve"> </w:t>
      </w:r>
      <w:r>
        <w:t xml:space="preserve">This Purchase Order shall be governed by and construed in accordance with the laws of Japan. Any disputes arising from this Purchase Order related to the optometrist practice operations in Japan Tokyo shall be subject to the exclusive jurisdiction of the Tokyo District Court.</w:t>
      </w:r>
    </w:p>
    <w:p>
      <w:pPr>
        <w:pStyle w:val="BodyText"/>
      </w:pPr>
      <w:r>
        <w:rPr>
          <w:bCs/>
          <w:b/>
        </w:rPr>
        <w:t xml:space="preserve">7. Confidentiality:</w:t>
      </w:r>
      <w:r>
        <w:t xml:space="preserve"> </w:t>
      </w:r>
      <w:r>
        <w:t xml:space="preserve">Both parties agree to maintain confidentiality regarding the terms, pricing, and specifications contained in this Purchase Order. No information shall be disclosed to third parties without prior written consent, except as required by Japanese law or regulatory bodies overseeing optometrist practice in Japan Tokyo.</w:t>
      </w:r>
    </w:p>
    <w:p>
      <w:pPr>
        <w:pStyle w:val="BodyText"/>
      </w:pPr>
      <w:r>
        <w:rPr>
          <w:bCs/>
          <w:b/>
        </w:rPr>
        <w:t xml:space="preserve">Important Note:</w:t>
      </w:r>
      <w:r>
        <w:t xml:space="preserve"> </w:t>
      </w:r>
      <w:r>
        <w:t xml:space="preserve">This Purchase Order is specifically tailored for the operational needs of a licensed optometrist practice in Japan Tokyo. All equipment and supplies listed must be suitable for use in a clinical optometry setting and must comply with the Ministry of Health, Labour and Welfare (MHLW) regulations governing optometrist services in the Tokyo metropolitan area. The optometrist clinic requires all documentation, including user manuals and safety data sheets, to be provided in both Japanese and English.</w:t>
      </w:r>
    </w:p>
    <w:bookmarkEnd w:id="24"/>
    <w:bookmarkStart w:id="25" w:name="approval-and-signatures"/>
    <w:p>
      <w:pPr>
        <w:pStyle w:val="Heading2"/>
      </w:pPr>
      <w:r>
        <w:t xml:space="preserve">Approval and Signatures</w:t>
      </w:r>
    </w:p>
    <w:p>
      <w:pPr>
        <w:pStyle w:val="FirstParagraph"/>
      </w:pPr>
      <w:r>
        <w:rPr>
          <w:bCs/>
          <w:b/>
        </w:rPr>
        <w:t xml:space="preserve">For and on behalf of the Buyer:</w:t>
      </w:r>
    </w:p>
    <w:p>
      <w:pPr>
        <w:pStyle w:val="BodyText"/>
      </w:pPr>
      <w:r>
        <w:t xml:space="preserve">Shinjuku Vision Optometrist Clinic Co., Ltd.</w:t>
      </w:r>
    </w:p>
    <w:p>
      <w:pPr>
        <w:pStyle w:val="BodyText"/>
      </w:pPr>
      <w:r>
        <w:t xml:space="preserve">Japan Tokyo</w:t>
      </w:r>
    </w:p>
    <w:p>
      <w:pPr>
        <w:pStyle w:val="BodyText"/>
      </w:pPr>
      <w:r>
        <w:br/>
      </w:r>
    </w:p>
    <w:p>
      <w:pPr>
        <w:pStyle w:val="BodyText"/>
      </w:pPr>
      <w:r>
        <w:t xml:space="preserve">Signature: ___________________________</w:t>
      </w:r>
    </w:p>
    <w:p>
      <w:pPr>
        <w:pStyle w:val="BodyText"/>
      </w:pPr>
      <w:r>
        <w:t xml:space="preserve">Name: Dr. Kenji Tanaka</w:t>
      </w:r>
    </w:p>
    <w:p>
      <w:pPr>
        <w:pStyle w:val="BodyText"/>
      </w:pPr>
      <w:r>
        <w:t xml:space="preserve">Title: Lead Optometrist / Director</w:t>
      </w:r>
    </w:p>
    <w:p>
      <w:pPr>
        <w:pStyle w:val="BodyText"/>
      </w:pPr>
      <w:r>
        <w:t xml:space="preserve">Date: ___________________________</w:t>
      </w:r>
    </w:p>
    <w:p>
      <w:pPr>
        <w:pStyle w:val="BodyText"/>
      </w:pPr>
      <w:r>
        <w:rPr>
          <w:bCs/>
          <w:b/>
        </w:rPr>
        <w:t xml:space="preserve">For and on behalf of the Supplier:</w:t>
      </w:r>
    </w:p>
    <w:p>
      <w:pPr>
        <w:pStyle w:val="BodyText"/>
      </w:pPr>
      <w:r>
        <w:t xml:space="preserve">OptiCore Global Supplies K.K.</w:t>
      </w:r>
    </w:p>
    <w:p>
      <w:pPr>
        <w:pStyle w:val="BodyText"/>
      </w:pPr>
      <w:r>
        <w:t xml:space="preserve">Japan Tokyo</w:t>
      </w:r>
    </w:p>
    <w:p>
      <w:pPr>
        <w:pStyle w:val="BodyText"/>
      </w:pPr>
      <w:r>
        <w:br/>
      </w:r>
    </w:p>
    <w:p>
      <w:pPr>
        <w:pStyle w:val="BodyText"/>
      </w:pPr>
      <w:r>
        <w:t xml:space="preserve">Signature: ___________________________</w:t>
      </w:r>
    </w:p>
    <w:p>
      <w:pPr>
        <w:pStyle w:val="BodyText"/>
      </w:pPr>
      <w:r>
        <w:t xml:space="preserve">Name: Ms. Yuki Sato</w:t>
      </w:r>
    </w:p>
    <w:p>
      <w:pPr>
        <w:pStyle w:val="BodyText"/>
      </w:pPr>
      <w:r>
        <w:t xml:space="preserve">Title: Regional Sales Director</w:t>
      </w:r>
    </w:p>
    <w:p>
      <w:pPr>
        <w:pStyle w:val="BodyText"/>
      </w:pPr>
      <w:r>
        <w:t xml:space="preserve">Date: ___________________________</w:t>
      </w:r>
    </w:p>
    <w:p>
      <w:pPr>
        <w:pStyle w:val="BodyText"/>
      </w:pPr>
      <w:r>
        <w:t xml:space="preserve">Purchase Order No. PO-JT-2025-04872 | Shinjuku Vision Optometrist Clinic Co., Ltd. | Japan Tokyo | Page 1 of 1</w:t>
      </w:r>
    </w:p>
    <w:p>
      <w:pPr>
        <w:pStyle w:val="BodyText"/>
      </w:pPr>
      <w:r>
        <w:t xml:space="preserve">This document is a controlled Purchase Order issued for the optometrist practice operations in Japan Tokyo. Unauthorized reproduction or distribution is prohibited.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Optometrist Practice - Japan Tokyo</dc:title>
  <dc:creator/>
  <dc:language>en</dc:language>
  <cp:keywords/>
  <dcterms:created xsi:type="dcterms:W3CDTF">2026-10-10T09:12:12Z</dcterms:created>
  <dcterms:modified xsi:type="dcterms:W3CDTF">2026-10-10T09:12:12Z</dcterms:modified>
</cp:coreProperties>
</file>

<file path=docProps/custom.xml><?xml version="1.0" encoding="utf-8"?>
<Properties xmlns="http://schemas.openxmlformats.org/officeDocument/2006/custom-properties" xmlns:vt="http://schemas.openxmlformats.org/officeDocument/2006/docPropsVTypes"/>
</file>