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Supply</w:t>
      </w:r>
      <w:r>
        <w:t xml:space="preserve"> </w:t>
      </w:r>
      <w:r>
        <w:t xml:space="preserve">-</w:t>
      </w:r>
      <w:r>
        <w:t xml:space="preserve"> </w:t>
      </w:r>
      <w:r>
        <w:t xml:space="preserve">Kenya</w:t>
      </w:r>
      <w:r>
        <w:t xml:space="preserve"> </w:t>
      </w:r>
      <w:r>
        <w:t xml:space="preserve">Nairobi</w:t>
      </w:r>
    </w:p>
    <w:bookmarkStart w:id="28" w:name="purchase-order"/>
    <w:p>
      <w:pPr>
        <w:pStyle w:val="Heading1"/>
      </w:pPr>
      <w:r>
        <w:t xml:space="preserve">PURCHASE ORDER</w:t>
      </w:r>
    </w:p>
    <w:p>
      <w:pPr>
        <w:pStyle w:val="FirstParagraph"/>
      </w:pPr>
      <w:r>
        <w:t xml:space="preserve">Optometrist Practice Supply &amp; Equipment Procurement — Kenya Nairobi</w:t>
      </w:r>
    </w:p>
    <w:bookmarkStart w:id="20" w:name="issuing-party-buyer"/>
    <w:p>
      <w:pPr>
        <w:pStyle w:val="Heading2"/>
      </w:pPr>
      <w:r>
        <w:t xml:space="preserve">Issuing Party (Buyer)</w:t>
      </w:r>
    </w:p>
    <w:p>
      <w:pPr>
        <w:pStyle w:val="FirstParagraph"/>
      </w:pPr>
      <w:r>
        <w:rPr>
          <w:bCs/>
          <w:b/>
        </w:rPr>
        <w:t xml:space="preserve">ClearSight Optometry Centre Ltd.</w:t>
      </w:r>
      <w:r>
        <w:br/>
      </w:r>
      <w:r>
        <w:t xml:space="preserve">Plot 14, Kenyatta Avenue, Westlands</w:t>
      </w:r>
      <w:r>
        <w:br/>
      </w:r>
      <w:r>
        <w:t xml:space="preserve">Nairobi, Kenya</w:t>
      </w:r>
      <w:r>
        <w:br/>
      </w:r>
      <w:r>
        <w:t xml:space="preserve">P.O. Box 45210-00100, Nairobi</w:t>
      </w:r>
      <w:r>
        <w:br/>
      </w:r>
      <w:r>
        <w:t xml:space="preserve">Tel: +254 722 345 678</w:t>
      </w:r>
      <w:r>
        <w:br/>
      </w:r>
      <w:r>
        <w:t xml:space="preserve">Email: procurement@clearsightke.com</w:t>
      </w:r>
      <w:r>
        <w:br/>
      </w:r>
      <w:r>
        <w:t xml:space="preserve">KRA PIN: P051234567X</w:t>
      </w:r>
      <w:r>
        <w:br/>
      </w:r>
      <w:r>
        <w:t xml:space="preserve">License No.: OPT/2024/0087 (Kenya Pharmacy &amp; Poisons Board)</w:t>
      </w:r>
    </w:p>
    <w:bookmarkEnd w:id="20"/>
    <w:bookmarkStart w:id="21" w:name="supplier-seller"/>
    <w:p>
      <w:pPr>
        <w:pStyle w:val="Heading2"/>
      </w:pPr>
      <w:r>
        <w:t xml:space="preserve">Supplier (Seller)</w:t>
      </w:r>
    </w:p>
    <w:p>
      <w:pPr>
        <w:pStyle w:val="FirstParagraph"/>
      </w:pPr>
      <w:r>
        <w:rPr>
          <w:bCs/>
          <w:b/>
        </w:rPr>
        <w:t xml:space="preserve">OptiTech Kenya Supplies Ltd.</w:t>
      </w:r>
      <w:r>
        <w:br/>
      </w:r>
      <w:r>
        <w:t xml:space="preserve">Industrial Area, Mombasa Road</w:t>
      </w:r>
      <w:r>
        <w:br/>
      </w:r>
      <w:r>
        <w:t xml:space="preserve">Nairobi, Kenya</w:t>
      </w:r>
      <w:r>
        <w:br/>
      </w:r>
      <w:r>
        <w:t xml:space="preserve">P.O. Box 78901-00200, Nairobi</w:t>
      </w:r>
      <w:r>
        <w:br/>
      </w:r>
      <w:r>
        <w:t xml:space="preserve">Tel: +254 733 987 654</w:t>
      </w:r>
      <w:r>
        <w:br/>
      </w:r>
      <w:r>
        <w:t xml:space="preserve">Email: sales@optitechke.co.ke</w:t>
      </w:r>
      <w:r>
        <w:br/>
      </w:r>
      <w:r>
        <w:t xml:space="preserve">KRA PIN: P059876543X</w:t>
      </w:r>
      <w:r>
        <w:br/>
      </w:r>
      <w:r>
        <w:t xml:space="preserve">MRA Registration: 1123456789</w:t>
      </w:r>
    </w:p>
    <w:bookmarkEnd w:id="21"/>
    <w:p>
      <w:pPr>
        <w:pStyle w:val="BodyText"/>
      </w:pPr>
      <w:r>
        <w:rPr>
          <w:bCs/>
          <w:b/>
        </w:rPr>
        <w:t xml:space="preserve">Purchase Order No.:</w:t>
      </w:r>
      <w:r>
        <w:t xml:space="preserve"> </w:t>
      </w:r>
      <w:r>
        <w:t xml:space="preserve">CSO-PO-2025-0042</w:t>
      </w:r>
      <w:r>
        <w:br/>
      </w:r>
      <w:r>
        <w:rPr>
          <w:bCs/>
          <w:b/>
        </w:rPr>
        <w:t xml:space="preserve">Date of Issue:</w:t>
      </w:r>
      <w:r>
        <w:t xml:space="preserve"> </w:t>
      </w:r>
      <w:r>
        <w:t xml:space="preserve">14 June 2025</w:t>
      </w:r>
      <w:r>
        <w:br/>
      </w:r>
      <w:r>
        <w:rPr>
          <w:bCs/>
          <w:b/>
        </w:rPr>
        <w:t xml:space="preserve">Required Delivery Date:</w:t>
      </w:r>
      <w:r>
        <w:t xml:space="preserve"> </w:t>
      </w:r>
      <w:r>
        <w:t xml:space="preserve">28 June 2025</w:t>
      </w:r>
      <w:r>
        <w:br/>
      </w:r>
      <w:r>
        <w:rPr>
          <w:bCs/>
          <w:b/>
        </w:rPr>
        <w:t xml:space="preserve">Delivery Location:</w:t>
      </w:r>
      <w:r>
        <w:t xml:space="preserve"> </w:t>
      </w:r>
      <w:r>
        <w:t xml:space="preserve">ClearSight Optometry Centre, Westlands, Kenya Nairobi</w:t>
      </w:r>
      <w:r>
        <w:br/>
      </w:r>
      <w:r>
        <w:rPr>
          <w:bCs/>
          <w:b/>
        </w:rPr>
        <w:t xml:space="preserve">Payment Terms:</w:t>
      </w:r>
      <w:r>
        <w:t xml:space="preserve"> </w:t>
      </w:r>
      <w:r>
        <w:t xml:space="preserve">60% advance, 40% upon delivery and inspection</w:t>
      </w:r>
      <w:r>
        <w:br/>
      </w:r>
      <w:r>
        <w:rPr>
          <w:bCs/>
          <w:b/>
        </w:rPr>
        <w:t xml:space="preserve">Currency:</w:t>
      </w:r>
      <w:r>
        <w:t xml:space="preserve"> </w:t>
      </w:r>
      <w:r>
        <w:t xml:space="preserve">Kenyan Shillings (KES)</w:t>
      </w:r>
    </w:p>
    <w:bookmarkStart w:id="22" w:name="purpose-of-this-purchase-order"/>
    <w:p>
      <w:pPr>
        <w:pStyle w:val="Heading2"/>
      </w:pPr>
      <w:r>
        <w:t xml:space="preserve">1. Purpose of This Purchase Order</w:t>
      </w:r>
    </w:p>
    <w:p>
      <w:pPr>
        <w:pStyle w:val="FirstParagraph"/>
      </w:pPr>
      <w:r>
        <w:t xml:space="preserve">This Purchase Order is issued by ClearSight Optometry Centre Ltd., a registered optometrist practice operating in Kenya Nairobi, to procure essential diagnostic equipment, optical instruments, patient care supplies, and consumable materials required for the continued and expanded operation of our optometrist services. This Purchase Order covers the procurement cycle for the second quarter of 2025 and is governed by the commercial laws of the Republic of Kenya, including the Consumer Protection Act, 2012, and applicable regulations set forth by the Kenya Pharmacy and Poisons Board (KPPB) and the National Optical Practitioners Association of Kenya (NOPAK).</w:t>
      </w:r>
    </w:p>
    <w:bookmarkEnd w:id="22"/>
    <w:bookmarkStart w:id="23" w:name="line-items-specifications"/>
    <w:p>
      <w:pPr>
        <w:pStyle w:val="Heading2"/>
      </w:pPr>
      <w:r>
        <w:t xml:space="preserve">2. Line Items &amp; Specifications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01</w:t>
            </w:r>
          </w:p>
        </w:tc>
        <w:tc>
          <w:tcPr/>
          <w:p>
            <w:pPr>
              <w:pStyle w:val="Compact"/>
              <w:jc w:val="left"/>
            </w:pPr>
            <w:r>
              <w:t xml:space="preserve">Auto Refractor / Keratometer (Nidek ARK-530A) — for optometrist diagnostic use</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Slit Lamp Biomicroscope (Topcon SL-15D) — optometrist examination equipment</w:t>
            </w:r>
          </w:p>
        </w:tc>
        <w:tc>
          <w:tcPr/>
          <w:p>
            <w:pPr>
              <w:pStyle w:val="Compact"/>
              <w:jc w:val="left"/>
            </w:pPr>
            <w:r>
              <w:t xml:space="preserve">1</w:t>
            </w:r>
          </w:p>
        </w:tc>
        <w:tc>
          <w:tcPr/>
          <w:p>
            <w:pPr>
              <w:pStyle w:val="Compact"/>
              <w:jc w:val="left"/>
            </w:pPr>
            <w:r>
              <w:t xml:space="preserve">Unit</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03</w:t>
            </w:r>
          </w:p>
        </w:tc>
        <w:tc>
          <w:tcPr/>
          <w:p>
            <w:pPr>
              <w:pStyle w:val="Compact"/>
              <w:jc w:val="left"/>
            </w:pPr>
            <w:r>
              <w:t xml:space="preserve">Phoropter (Nidek NP-200) — optometrist refraction instrument</w:t>
            </w:r>
          </w:p>
        </w:tc>
        <w:tc>
          <w:tcPr/>
          <w:p>
            <w:pPr>
              <w:pStyle w:val="Compact"/>
              <w:jc w:val="left"/>
            </w:pPr>
            <w:r>
              <w:t xml:space="preserve">1</w:t>
            </w:r>
          </w:p>
        </w:tc>
        <w:tc>
          <w:tcPr/>
          <w:p>
            <w:pPr>
              <w:pStyle w:val="Compact"/>
              <w:jc w:val="left"/>
            </w:pPr>
            <w:r>
              <w:t xml:space="preserve">Unit</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04</w:t>
            </w:r>
          </w:p>
        </w:tc>
        <w:tc>
          <w:tcPr/>
          <w:p>
            <w:pPr>
              <w:pStyle w:val="Compact"/>
              <w:jc w:val="left"/>
            </w:pPr>
            <w:r>
              <w:t xml:space="preserve">Non-Contact Tonometer (Tonometer NT-530) — intraocular pressure measurement</w:t>
            </w:r>
          </w:p>
        </w:tc>
        <w:tc>
          <w:tcPr/>
          <w:p>
            <w:pPr>
              <w:pStyle w:val="Compact"/>
              <w:jc w:val="left"/>
            </w:pPr>
            <w:r>
              <w:t xml:space="preserve">1</w:t>
            </w:r>
          </w:p>
        </w:tc>
        <w:tc>
          <w:tcPr/>
          <w:p>
            <w:pPr>
              <w:pStyle w:val="Compact"/>
              <w:jc w:val="left"/>
            </w:pPr>
            <w:r>
              <w:t xml:space="preserve">Unit</w:t>
            </w:r>
          </w:p>
        </w:tc>
        <w:tc>
          <w:tcPr/>
          <w:p>
            <w:pPr>
              <w:pStyle w:val="Compact"/>
              <w:jc w:val="left"/>
            </w:pPr>
            <w:r>
              <w:t xml:space="preserve">198,000.00</w:t>
            </w:r>
          </w:p>
        </w:tc>
        <w:tc>
          <w:tcPr/>
          <w:p>
            <w:pPr>
              <w:pStyle w:val="Compact"/>
              <w:jc w:val="left"/>
            </w:pPr>
            <w:r>
              <w:t xml:space="preserve">198,000.00</w:t>
            </w:r>
          </w:p>
        </w:tc>
      </w:tr>
      <w:tr>
        <w:tc>
          <w:tcPr/>
          <w:p>
            <w:pPr>
              <w:pStyle w:val="Compact"/>
              <w:jc w:val="left"/>
            </w:pPr>
            <w:r>
              <w:t xml:space="preserve">05</w:t>
            </w:r>
          </w:p>
        </w:tc>
        <w:tc>
          <w:tcPr/>
          <w:p>
            <w:pPr>
              <w:pStyle w:val="Compact"/>
              <w:jc w:val="left"/>
            </w:pPr>
            <w:r>
              <w:t xml:space="preserve">Single Vision Lenses, CR-39, 1.50 Index (Assorted Powers)</w:t>
            </w:r>
          </w:p>
        </w:tc>
        <w:tc>
          <w:tcPr/>
          <w:p>
            <w:pPr>
              <w:pStyle w:val="Compact"/>
              <w:jc w:val="left"/>
            </w:pPr>
            <w:r>
              <w:t xml:space="preserve">200</w:t>
            </w:r>
          </w:p>
        </w:tc>
        <w:tc>
          <w:tcPr/>
          <w:p>
            <w:pPr>
              <w:pStyle w:val="Compact"/>
              <w:jc w:val="left"/>
            </w:pPr>
            <w:r>
              <w:t xml:space="preserve">Pairs</w:t>
            </w:r>
          </w:p>
        </w:tc>
        <w:tc>
          <w:tcPr/>
          <w:p>
            <w:pPr>
              <w:pStyle w:val="Compact"/>
              <w:jc w:val="left"/>
            </w:pPr>
            <w:r>
              <w:t xml:space="preserve">1,850.00</w:t>
            </w:r>
          </w:p>
        </w:tc>
        <w:tc>
          <w:tcPr/>
          <w:p>
            <w:pPr>
              <w:pStyle w:val="Compact"/>
              <w:jc w:val="left"/>
            </w:pPr>
            <w:r>
              <w:t xml:space="preserve">370,000.00</w:t>
            </w:r>
          </w:p>
        </w:tc>
      </w:tr>
      <w:tr>
        <w:tc>
          <w:tcPr/>
          <w:p>
            <w:pPr>
              <w:pStyle w:val="Compact"/>
              <w:jc w:val="left"/>
            </w:pPr>
            <w:r>
              <w:t xml:space="preserve">06</w:t>
            </w:r>
          </w:p>
        </w:tc>
        <w:tc>
          <w:tcPr/>
          <w:p>
            <w:pPr>
              <w:pStyle w:val="Compact"/>
              <w:jc w:val="left"/>
            </w:pPr>
            <w:r>
              <w:t xml:space="preserve">Bifocal &amp; Progressive Lenses, 1.67 Index (Assorted)</w:t>
            </w:r>
          </w:p>
        </w:tc>
        <w:tc>
          <w:tcPr/>
          <w:p>
            <w:pPr>
              <w:pStyle w:val="Compact"/>
              <w:jc w:val="left"/>
            </w:pPr>
            <w:r>
              <w:t xml:space="preserve">80</w:t>
            </w:r>
          </w:p>
        </w:tc>
        <w:tc>
          <w:tcPr/>
          <w:p>
            <w:pPr>
              <w:pStyle w:val="Compact"/>
              <w:jc w:val="left"/>
            </w:pPr>
            <w:r>
              <w:t xml:space="preserve">Pairs</w:t>
            </w:r>
          </w:p>
        </w:tc>
        <w:tc>
          <w:tcPr/>
          <w:p>
            <w:pPr>
              <w:pStyle w:val="Compact"/>
              <w:jc w:val="left"/>
            </w:pPr>
            <w:r>
              <w:t xml:space="preserve">4,200.00</w:t>
            </w:r>
          </w:p>
        </w:tc>
        <w:tc>
          <w:tcPr/>
          <w:p>
            <w:pPr>
              <w:pStyle w:val="Compact"/>
              <w:jc w:val="left"/>
            </w:pPr>
            <w:r>
              <w:t xml:space="preserve">336,000.00</w:t>
            </w:r>
          </w:p>
        </w:tc>
      </w:tr>
      <w:tr>
        <w:tc>
          <w:tcPr/>
          <w:p>
            <w:pPr>
              <w:pStyle w:val="Compact"/>
              <w:jc w:val="left"/>
            </w:pPr>
            <w:r>
              <w:t xml:space="preserve">07</w:t>
            </w:r>
          </w:p>
        </w:tc>
        <w:tc>
          <w:tcPr/>
          <w:p>
            <w:pPr>
              <w:pStyle w:val="Compact"/>
              <w:jc w:val="left"/>
            </w:pPr>
            <w:r>
              <w:t xml:space="preserve">UV400 Sunglass Lenses, Polarised (Assorted Tints)</w:t>
            </w:r>
          </w:p>
        </w:tc>
        <w:tc>
          <w:tcPr/>
          <w:p>
            <w:pPr>
              <w:pStyle w:val="Compact"/>
              <w:jc w:val="left"/>
            </w:pPr>
            <w:r>
              <w:t xml:space="preserve">150</w:t>
            </w:r>
          </w:p>
        </w:tc>
        <w:tc>
          <w:tcPr/>
          <w:p>
            <w:pPr>
              <w:pStyle w:val="Compact"/>
              <w:jc w:val="left"/>
            </w:pPr>
            <w:r>
              <w:t xml:space="preserve">Pairs</w:t>
            </w:r>
          </w:p>
        </w:tc>
        <w:tc>
          <w:tcPr/>
          <w:p>
            <w:pPr>
              <w:pStyle w:val="Compact"/>
              <w:jc w:val="left"/>
            </w:pPr>
            <w:r>
              <w:t xml:space="preserve">2,400.00</w:t>
            </w:r>
          </w:p>
        </w:tc>
        <w:tc>
          <w:tcPr/>
          <w:p>
            <w:pPr>
              <w:pStyle w:val="Compact"/>
              <w:jc w:val="left"/>
            </w:pPr>
            <w:r>
              <w:t xml:space="preserve">360,000.00</w:t>
            </w:r>
          </w:p>
        </w:tc>
      </w:tr>
      <w:tr>
        <w:tc>
          <w:tcPr/>
          <w:p>
            <w:pPr>
              <w:pStyle w:val="Compact"/>
              <w:jc w:val="left"/>
            </w:pPr>
            <w:r>
              <w:t xml:space="preserve">08</w:t>
            </w:r>
          </w:p>
        </w:tc>
        <w:tc>
          <w:tcPr/>
          <w:p>
            <w:pPr>
              <w:pStyle w:val="Compact"/>
              <w:jc w:val="left"/>
            </w:pPr>
            <w:r>
              <w:t xml:space="preserve">Optical Frames — Titanium &amp; Acetate (Assorted Styles)</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3,500.00</w:t>
            </w:r>
          </w:p>
        </w:tc>
        <w:tc>
          <w:tcPr/>
          <w:p>
            <w:pPr>
              <w:pStyle w:val="Compact"/>
              <w:jc w:val="left"/>
            </w:pPr>
            <w:r>
              <w:t xml:space="preserve">420,000.00</w:t>
            </w:r>
          </w:p>
        </w:tc>
      </w:tr>
      <w:tr>
        <w:tc>
          <w:tcPr/>
          <w:p>
            <w:pPr>
              <w:pStyle w:val="Compact"/>
              <w:jc w:val="left"/>
            </w:pPr>
            <w:r>
              <w:t xml:space="preserve">09</w:t>
            </w:r>
          </w:p>
        </w:tc>
        <w:tc>
          <w:tcPr/>
          <w:p>
            <w:pPr>
              <w:pStyle w:val="Compact"/>
              <w:jc w:val="left"/>
            </w:pPr>
            <w:r>
              <w:t xml:space="preserve">Contact Lens Solution, 300ml (Multi-Purpose)</w:t>
            </w:r>
          </w:p>
        </w:tc>
        <w:tc>
          <w:tcPr/>
          <w:p>
            <w:pPr>
              <w:pStyle w:val="Compact"/>
              <w:jc w:val="left"/>
            </w:pPr>
            <w:r>
              <w:t xml:space="preserve">500</w:t>
            </w:r>
          </w:p>
        </w:tc>
        <w:tc>
          <w:tcPr/>
          <w:p>
            <w:pPr>
              <w:pStyle w:val="Compact"/>
              <w:jc w:val="left"/>
            </w:pPr>
            <w:r>
              <w:t xml:space="preserve">Bottles</w:t>
            </w:r>
          </w:p>
        </w:tc>
        <w:tc>
          <w:tcPr/>
          <w:p>
            <w:pPr>
              <w:pStyle w:val="Compact"/>
              <w:jc w:val="left"/>
            </w:pPr>
            <w:r>
              <w:t xml:space="preserve">850.00</w:t>
            </w:r>
          </w:p>
        </w:tc>
        <w:tc>
          <w:tcPr/>
          <w:p>
            <w:pPr>
              <w:pStyle w:val="Compact"/>
              <w:jc w:val="left"/>
            </w:pPr>
            <w:r>
              <w:t xml:space="preserve">425,000.00</w:t>
            </w:r>
          </w:p>
        </w:tc>
      </w:tr>
      <w:tr>
        <w:tc>
          <w:tcPr/>
          <w:p>
            <w:pPr>
              <w:pStyle w:val="Compact"/>
              <w:jc w:val="left"/>
            </w:pPr>
            <w:r>
              <w:t xml:space="preserve">10</w:t>
            </w:r>
          </w:p>
        </w:tc>
        <w:tc>
          <w:tcPr/>
          <w:p>
            <w:pPr>
              <w:pStyle w:val="Compact"/>
              <w:jc w:val="left"/>
            </w:pPr>
            <w:r>
              <w:t xml:space="preserve">Disposable Trial Lens Sets &amp; Accessories</w:t>
            </w:r>
          </w:p>
        </w:tc>
        <w:tc>
          <w:tcPr/>
          <w:p>
            <w:pPr>
              <w:pStyle w:val="Compact"/>
              <w:jc w:val="left"/>
            </w:pPr>
            <w:r>
              <w:t xml:space="preserve">10</w:t>
            </w:r>
          </w:p>
        </w:tc>
        <w:tc>
          <w:tcPr/>
          <w:p>
            <w:pPr>
              <w:pStyle w:val="Compact"/>
              <w:jc w:val="left"/>
            </w:pPr>
            <w:r>
              <w:t xml:space="preserve">Sets</w:t>
            </w:r>
          </w:p>
        </w:tc>
        <w:tc>
          <w:tcPr/>
          <w:p>
            <w:pPr>
              <w:pStyle w:val="Compact"/>
              <w:jc w:val="left"/>
            </w:pPr>
            <w:r>
              <w:t xml:space="preserve">12,500.00</w:t>
            </w:r>
          </w:p>
        </w:tc>
        <w:tc>
          <w:tcPr/>
          <w:p>
            <w:pPr>
              <w:pStyle w:val="Compact"/>
              <w:jc w:val="left"/>
            </w:pPr>
            <w:r>
              <w:t xml:space="preserve">125,000.00</w:t>
            </w:r>
          </w:p>
        </w:tc>
      </w:tr>
      <w:tr>
        <w:tc>
          <w:tcPr/>
          <w:p>
            <w:pPr>
              <w:pStyle w:val="Compact"/>
              <w:jc w:val="left"/>
            </w:pPr>
            <w:r>
              <w:t xml:space="preserve">11</w:t>
            </w:r>
          </w:p>
        </w:tc>
        <w:tc>
          <w:tcPr/>
          <w:p>
            <w:pPr>
              <w:pStyle w:val="Compact"/>
              <w:jc w:val="left"/>
            </w:pPr>
            <w:r>
              <w:t xml:space="preserve">Optometrist Patient Examination Chairs (Hydraulic, Reclining)</w:t>
            </w:r>
          </w:p>
        </w:tc>
        <w:tc>
          <w:tcPr/>
          <w:p>
            <w:pPr>
              <w:pStyle w:val="Compact"/>
              <w:jc w:val="left"/>
            </w:pPr>
            <w:r>
              <w:t xml:space="preserve">3</w:t>
            </w:r>
          </w:p>
        </w:tc>
        <w:tc>
          <w:tcPr/>
          <w:p>
            <w:pPr>
              <w:pStyle w:val="Compact"/>
              <w:jc w:val="left"/>
            </w:pPr>
            <w:r>
              <w:t xml:space="preserve">Units</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12</w:t>
            </w:r>
          </w:p>
        </w:tc>
        <w:tc>
          <w:tcPr/>
          <w:p>
            <w:pPr>
              <w:pStyle w:val="Compact"/>
              <w:jc w:val="left"/>
            </w:pPr>
            <w:r>
              <w:t xml:space="preserve">LED Illumination Lamps for Optometrist Consultation Rooms</w:t>
            </w:r>
          </w:p>
        </w:tc>
        <w:tc>
          <w:tcPr/>
          <w:p>
            <w:pPr>
              <w:pStyle w:val="Compact"/>
              <w:jc w:val="left"/>
            </w:pPr>
            <w:r>
              <w:t xml:space="preserve">6</w:t>
            </w:r>
          </w:p>
        </w:tc>
        <w:tc>
          <w:tcPr/>
          <w:p>
            <w:pPr>
              <w:pStyle w:val="Compact"/>
              <w:jc w:val="left"/>
            </w:pPr>
            <w:r>
              <w:t xml:space="preserve">Units</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13</w:t>
            </w:r>
          </w:p>
        </w:tc>
        <w:tc>
          <w:tcPr/>
          <w:p>
            <w:pPr>
              <w:pStyle w:val="Compact"/>
              <w:jc w:val="left"/>
            </w:pPr>
            <w:r>
              <w:t xml:space="preserve">Eye Chart Projector (Snellen &amp; LogMAR) — Kenya Nairobi clinic standard</w:t>
            </w:r>
          </w:p>
        </w:tc>
        <w:tc>
          <w:tcPr/>
          <w:p>
            <w:pPr>
              <w:pStyle w:val="Compact"/>
              <w:jc w:val="left"/>
            </w:pPr>
            <w:r>
              <w:t xml:space="preserve">2</w:t>
            </w:r>
          </w:p>
        </w:tc>
        <w:tc>
          <w:tcPr/>
          <w:p>
            <w:pPr>
              <w:pStyle w:val="Compact"/>
              <w:jc w:val="left"/>
            </w:pPr>
            <w:r>
              <w:t xml:space="preserve">Units</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14</w:t>
            </w:r>
          </w:p>
        </w:tc>
        <w:tc>
          <w:tcPr/>
          <w:p>
            <w:pPr>
              <w:pStyle w:val="Compact"/>
              <w:jc w:val="left"/>
            </w:pPr>
            <w:r>
              <w:t xml:space="preserve">Computerised Ophthalmic Dispensing Software Licence (3-year)</w:t>
            </w:r>
          </w:p>
        </w:tc>
        <w:tc>
          <w:tcPr/>
          <w:p>
            <w:pPr>
              <w:pStyle w:val="Compact"/>
              <w:jc w:val="left"/>
            </w:pPr>
            <w:r>
              <w:t xml:space="preserve">1</w:t>
            </w:r>
          </w:p>
        </w:tc>
        <w:tc>
          <w:tcPr/>
          <w:p>
            <w:pPr>
              <w:pStyle w:val="Compact"/>
              <w:jc w:val="left"/>
            </w:pPr>
            <w:r>
              <w:t xml:space="preserve">Seat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15</w:t>
            </w:r>
          </w:p>
        </w:tc>
        <w:tc>
          <w:tcPr/>
          <w:p>
            <w:pPr>
              <w:pStyle w:val="Compact"/>
              <w:jc w:val="left"/>
            </w:pPr>
            <w:r>
              <w:t xml:space="preserve">Protective Eyewear &amp; PPE for Optometrist Staff (Annual Supply)</w:t>
            </w:r>
          </w:p>
        </w:tc>
        <w:tc>
          <w:tcPr/>
          <w:p>
            <w:pPr>
              <w:pStyle w:val="Compact"/>
              <w:jc w:val="left"/>
            </w:pPr>
            <w:r>
              <w:t xml:space="preserve">200</w:t>
            </w:r>
          </w:p>
        </w:tc>
        <w:tc>
          <w:tcPr/>
          <w:p>
            <w:pPr>
              <w:pStyle w:val="Compact"/>
              <w:jc w:val="left"/>
            </w:pPr>
            <w:r>
              <w:t xml:space="preserve">Units</w:t>
            </w:r>
          </w:p>
        </w:tc>
        <w:tc>
          <w:tcPr/>
          <w:p>
            <w:pPr>
              <w:pStyle w:val="Compact"/>
              <w:jc w:val="left"/>
            </w:pPr>
            <w:r>
              <w:t xml:space="preserve">650.00</w:t>
            </w:r>
          </w:p>
        </w:tc>
        <w:tc>
          <w:tcPr/>
          <w:p>
            <w:pPr>
              <w:pStyle w:val="Compact"/>
              <w:jc w:val="left"/>
            </w:pPr>
            <w:r>
              <w:t xml:space="preserve">130,000.00</w:t>
            </w:r>
          </w:p>
        </w:tc>
      </w:tr>
    </w:tbl>
    <w:bookmarkEnd w:id="23"/>
    <w:bookmarkStart w:id="24" w:name="financial-summary"/>
    <w:p>
      <w:pPr>
        <w:pStyle w:val="Heading2"/>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(KES)</w:t>
            </w:r>
          </w:p>
        </w:tc>
        <w:tc>
          <w:tcPr/>
          <w:p>
            <w:pPr>
              <w:pStyle w:val="Compact"/>
              <w:jc w:val="left"/>
            </w:pPr>
            <w:r>
              <w:t xml:space="preserve">3,894,000.00</w:t>
            </w:r>
          </w:p>
        </w:tc>
      </w:tr>
      <w:tr>
        <w:tc>
          <w:tcPr/>
          <w:p>
            <w:pPr>
              <w:pStyle w:val="Compact"/>
              <w:jc w:val="left"/>
            </w:pPr>
            <w:r>
              <w:t xml:space="preserve">VAT @ 16% (Kenya Revenue Authority)</w:t>
            </w:r>
          </w:p>
        </w:tc>
        <w:tc>
          <w:tcPr/>
          <w:p>
            <w:pPr>
              <w:pStyle w:val="Compact"/>
              <w:jc w:val="left"/>
            </w:pPr>
            <w:r>
              <w:t xml:space="preserve">623,040.00</w:t>
            </w:r>
          </w:p>
        </w:tc>
      </w:tr>
      <w:tr>
        <w:tc>
          <w:tcPr/>
          <w:p>
            <w:pPr>
              <w:pStyle w:val="Compact"/>
              <w:jc w:val="left"/>
            </w:pPr>
            <w:r>
              <w:t xml:space="preserve">Delivery &amp; Installation within Kenya Nairobi Metro</w:t>
            </w:r>
          </w:p>
        </w:tc>
        <w:tc>
          <w:tcPr/>
          <w:p>
            <w:pPr>
              <w:pStyle w:val="Compact"/>
              <w:jc w:val="left"/>
            </w:pPr>
            <w:r>
              <w:t xml:space="preserve">45,000.00</w:t>
            </w:r>
          </w:p>
        </w:tc>
      </w:tr>
      <w:tr>
        <w:tc>
          <w:tcPr/>
          <w:p>
            <w:pPr>
              <w:pStyle w:val="Compact"/>
              <w:jc w:val="left"/>
            </w:pPr>
            <w:r>
              <w:rPr>
                <w:bCs/>
                <w:b/>
              </w:rPr>
              <w:t xml:space="preserve">GRAND TOTAL (KES)</w:t>
            </w:r>
          </w:p>
        </w:tc>
        <w:tc>
          <w:tcPr/>
          <w:p>
            <w:pPr>
              <w:pStyle w:val="Compact"/>
              <w:jc w:val="left"/>
            </w:pPr>
            <w:r>
              <w:rPr>
                <w:bCs/>
                <w:b/>
              </w:rPr>
              <w:t xml:space="preserve">4,562,040.00</w:t>
            </w:r>
          </w:p>
        </w:tc>
      </w:tr>
    </w:tbl>
    <w:bookmarkEnd w:id="24"/>
    <w:bookmarkStart w:id="25" w:name="terms-and-conditions"/>
    <w:p>
      <w:pPr>
        <w:pStyle w:val="Heading2"/>
      </w:pPr>
      <w:r>
        <w:t xml:space="preserve">4. Terms and Conditions</w:t>
      </w:r>
    </w:p>
    <w:p>
      <w:pPr>
        <w:pStyle w:val="FirstParagraph"/>
      </w:pPr>
      <w:r>
        <w:t xml:space="preserve">4.1 This Purchase Order is subject to the standard trade terms of OptiTech Kenya Supplies Ltd. and the commercial regulations applicable in Kenya Nairobi. All goods must comply with the Kenya Bureau of Standards (KEBS) certification requirements for medical and optical devices.</w:t>
      </w:r>
    </w:p>
    <w:p>
      <w:pPr>
        <w:pStyle w:val="BodyText"/>
      </w:pPr>
      <w:r>
        <w:t xml:space="preserve">4.2 The supplier shall deliver all items listed in this Purchase Order to the optometrist practice premises at Westlands, Kenya Nairobi, no later than the Required Delivery Date stated above. Late delivery shall attract a penalty of 1.5% of the total Purchase Order value per calendar day of delay, capped at 10%.</w:t>
      </w:r>
    </w:p>
    <w:p>
      <w:pPr>
        <w:pStyle w:val="BodyText"/>
      </w:pPr>
      <w:r>
        <w:t xml:space="preserve">4.3 All diagnostic and optometrist equipment shall carry a minimum of a two-year manufacturer's warranty, with on-site service coverage within the Kenya Nairobi metropolitan area. Consumable items (lenses, solutions, frames) shall be free from manufacturing defects at the time of delivery.</w:t>
      </w:r>
    </w:p>
    <w:p>
      <w:pPr>
        <w:pStyle w:val="BodyText"/>
      </w:pPr>
      <w:r>
        <w:t xml:space="preserve">4.4 Payment shall be processed via bank transfer to the supplier's designated account. The 60% advance payment shall be released within five (5) business days of acceptance of this Purchase Order. The remaining 40% balance shall be paid within ten (10) business days following successful delivery, installation, and inspection by the optometrist practice's technical team.</w:t>
      </w:r>
    </w:p>
    <w:p>
      <w:pPr>
        <w:pStyle w:val="BodyText"/>
      </w:pPr>
      <w:r>
        <w:t xml:space="preserve">4.5 The supplier is required to provide a detailed invoice, KEBS conformity certificates, and warranty documentation for each line item upon delivery. Failure to provide complete documentation shall entitle the buyer to withhold the balance payment until compliance is achieved.</w:t>
      </w:r>
    </w:p>
    <w:p>
      <w:pPr>
        <w:pStyle w:val="BodyText"/>
      </w:pPr>
      <w:r>
        <w:t xml:space="preserve">4.6 Any disputes arising from this Purchase Order shall be resolved through negotiation, and failing that, through arbitration in Nairobi, Kenya, in accordance with the Arbitration Act, 1995 of Kenya.</w:t>
      </w:r>
    </w:p>
    <w:p>
      <w:pPr>
        <w:pStyle w:val="BodyText"/>
      </w:pPr>
      <w:r>
        <w:t xml:space="preserve">4.7 This Purchase Order does not constitute a long-term supply agreement. Any future procurement by the optometrist practice in Kenya Nairobi shall be subject to a separate Purchase Order and mutual written consent.</w:t>
      </w:r>
    </w:p>
    <w:bookmarkEnd w:id="25"/>
    <w:bookmarkStart w:id="26" w:name="delivery-installation-instructions"/>
    <w:p>
      <w:pPr>
        <w:pStyle w:val="Heading2"/>
      </w:pPr>
      <w:r>
        <w:t xml:space="preserve">5. Delivery &amp; Installation Instructions</w:t>
      </w:r>
    </w:p>
    <w:p>
      <w:pPr>
        <w:pStyle w:val="FirstParagraph"/>
      </w:pPr>
      <w:r>
        <w:t xml:space="preserve">All equipment shall be delivered to the ground-floor reception of ClearSight Optometry Centre, Plot 14, Kenyatta Avenue, Westlands, Kenya Nairobi. The supplier's installation team shall coordinate with the optometrist practice's operations manager (Mr. Daniel Mwangi, Tel: +254 711 234 567) at least 48 hours prior to the scheduled delivery date. Installation of the Auto Refractor, Slit Lamp, Phoropter, and Tonometer shall be completed and calibrated within two (2) working days of physical delivery. The optometrist in charge (Dr. Amina Hassan, MBOpt, FCOptom) shall sign the delivery and installation acceptance form upon satisfactory completion.</w:t>
      </w:r>
    </w:p>
    <w:bookmarkEnd w:id="26"/>
    <w:bookmarkStart w:id="27" w:name="authorisation-signatures"/>
    <w:p>
      <w:pPr>
        <w:pStyle w:val="Heading2"/>
      </w:pPr>
      <w:r>
        <w:t xml:space="preserve">6. Authorisation &amp; Signatures</w:t>
      </w:r>
    </w:p>
    <w:p>
      <w:pPr>
        <w:pStyle w:val="FirstParagraph"/>
      </w:pPr>
      <w:r>
        <w:rPr>
          <w:bCs/>
          <w:b/>
        </w:rPr>
        <w:t xml:space="preserve">For and on behalf of the Buyer:</w:t>
      </w:r>
      <w:r>
        <w:br/>
      </w:r>
      <w:r>
        <w:br/>
      </w:r>
      <w:r>
        <w:br/>
      </w:r>
      <w:r>
        <w:t xml:space="preserve">_______________________________</w:t>
      </w:r>
      <w:r>
        <w:br/>
      </w:r>
      <w:r>
        <w:rPr>
          <w:bCs/>
          <w:b/>
        </w:rPr>
        <w:t xml:space="preserve">Dr. Amina Hassan</w:t>
      </w:r>
      <w:r>
        <w:br/>
      </w:r>
      <w:r>
        <w:t xml:space="preserve">Lead Optometrist &amp; Practice Director</w:t>
      </w:r>
      <w:r>
        <w:br/>
      </w:r>
      <w:r>
        <w:t xml:space="preserve">ClearSight Optometry Centre Ltd.</w:t>
      </w:r>
      <w:r>
        <w:br/>
      </w:r>
      <w:r>
        <w:t xml:space="preserve">Date: _______________</w:t>
      </w:r>
    </w:p>
    <w:p>
      <w:pPr>
        <w:pStyle w:val="BodyText"/>
      </w:pPr>
      <w:r>
        <w:rPr>
          <w:bCs/>
          <w:b/>
        </w:rPr>
        <w:t xml:space="preserve">For and on behalf of the Supplier:</w:t>
      </w:r>
      <w:r>
        <w:br/>
      </w:r>
      <w:r>
        <w:br/>
      </w:r>
      <w:r>
        <w:br/>
      </w:r>
      <w:r>
        <w:t xml:space="preserve">_______________________________</w:t>
      </w:r>
      <w:r>
        <w:br/>
      </w:r>
      <w:r>
        <w:rPr>
          <w:bCs/>
          <w:b/>
        </w:rPr>
        <w:t xml:space="preserve">Mr. James Otieno</w:t>
      </w:r>
      <w:r>
        <w:br/>
      </w:r>
      <w:r>
        <w:t xml:space="preserve">Sales &amp; Accounts Manager</w:t>
      </w:r>
      <w:r>
        <w:br/>
      </w:r>
      <w:r>
        <w:t xml:space="preserve">OptiTech Kenya Supplies Ltd.</w:t>
      </w:r>
      <w:r>
        <w:br/>
      </w:r>
      <w:r>
        <w:t xml:space="preserve">Date: _______________</w:t>
      </w:r>
    </w:p>
    <w:p>
      <w:pPr>
        <w:pStyle w:val="BodyText"/>
      </w:pPr>
      <w:r>
        <w:t xml:space="preserve">This Purchase Order document is valid for 30 days from the date of issue. It is the property of ClearSight Optometry Centre Ltd., Kenya Nairobi, and may not be reproduced or distributed without written consent. Reference: CSO-PO-2025-0042.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Supply - Kenya Nairobi</dc:title>
  <dc:creator/>
  <dc:language>en</dc:language>
  <cp:keywords/>
  <dcterms:created xsi:type="dcterms:W3CDTF">2026-10-10T08:01:07Z</dcterms:created>
  <dcterms:modified xsi:type="dcterms:W3CDTF">2026-10-10T08:01:07Z</dcterms:modified>
</cp:coreProperties>
</file>

<file path=docProps/custom.xml><?xml version="1.0" encoding="utf-8"?>
<Properties xmlns="http://schemas.openxmlformats.org/officeDocument/2006/custom-properties" xmlns:vt="http://schemas.openxmlformats.org/officeDocument/2006/docPropsVTypes"/>
</file>