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Optometrist</w:t>
      </w:r>
      <w:r>
        <w:t xml:space="preserve"> </w:t>
      </w:r>
      <w:r>
        <w:t xml:space="preserve">Clinic</w:t>
      </w:r>
      <w:r>
        <w:t xml:space="preserve"> </w:t>
      </w:r>
      <w:r>
        <w:t xml:space="preserve">-</w:t>
      </w:r>
      <w:r>
        <w:t xml:space="preserve"> </w:t>
      </w:r>
      <w:r>
        <w:t xml:space="preserve">Qatar</w:t>
      </w:r>
      <w:r>
        <w:t xml:space="preserve"> </w:t>
      </w:r>
      <w:r>
        <w:t xml:space="preserve">Doha</w:t>
      </w:r>
    </w:p>
    <w:bookmarkStart w:id="20" w:name="purchase-order"/>
    <w:p>
      <w:pPr>
        <w:pStyle w:val="Heading1"/>
      </w:pPr>
      <w:r>
        <w:t xml:space="preserve">PURCHASE ORDER</w:t>
      </w:r>
    </w:p>
    <w:p>
      <w:pPr>
        <w:pStyle w:val="FirstParagraph"/>
      </w:pPr>
      <w:r>
        <w:t xml:space="preserve">ClearVision Optometry Center – Doha, Qatar</w:t>
      </w:r>
    </w:p>
    <w:p>
      <w:pPr>
        <w:pStyle w:val="BodyText"/>
      </w:pPr>
      <w:r>
        <w:t xml:space="preserve">Commercial Registration No. 3847291 | VAT No. QV-2024-0087341</w:t>
      </w:r>
    </w:p>
    <w:bookmarkEnd w:id="20"/>
    <w:p>
      <w:pPr>
        <w:pStyle w:val="BodyText"/>
      </w:pPr>
      <w:r>
        <w:rPr>
          <w:bCs/>
          <w:b/>
        </w:rPr>
        <w:t xml:space="preserve">Purchase Order No.:</w:t>
      </w:r>
      <w:r>
        <w:t xml:space="preserve"> </w:t>
      </w:r>
      <w:r>
        <w:t xml:space="preserve">PO-QD-2025-00472</w:t>
      </w:r>
    </w:p>
    <w:p>
      <w:pPr>
        <w:pStyle w:val="BodyText"/>
      </w:pPr>
      <w:r>
        <w:rPr>
          <w:bCs/>
          <w:b/>
        </w:rPr>
        <w:t xml:space="preserve">Date of Issue:</w:t>
      </w:r>
      <w:r>
        <w:t xml:space="preserve"> </w:t>
      </w:r>
      <w:r>
        <w:t xml:space="preserve">14 June 2025</w:t>
      </w:r>
    </w:p>
    <w:p>
      <w:pPr>
        <w:pStyle w:val="BodyText"/>
      </w:pPr>
      <w:r>
        <w:rPr>
          <w:bCs/>
          <w:b/>
        </w:rPr>
        <w:t xml:space="preserve">Delivery Deadline:</w:t>
      </w:r>
      <w:r>
        <w:t xml:space="preserve"> </w:t>
      </w:r>
      <w:r>
        <w:t xml:space="preserve">28 June 2025</w:t>
      </w:r>
    </w:p>
    <w:p>
      <w:pPr>
        <w:pStyle w:val="BodyText"/>
      </w:pPr>
      <w:r>
        <w:rPr>
          <w:bCs/>
          <w:b/>
        </w:rPr>
        <w:t xml:space="preserve">Payment Terms:</w:t>
      </w:r>
      <w:r>
        <w:t xml:space="preserve"> </w:t>
      </w:r>
      <w:r>
        <w:t xml:space="preserve">Net 30 Days</w:t>
      </w:r>
    </w:p>
    <w:p>
      <w:pPr>
        <w:pStyle w:val="BodyText"/>
      </w:pPr>
      <w:r>
        <w:t xml:space="preserve">Supplier Information</w:t>
      </w:r>
    </w:p>
    <w:bookmarkStart w:id="21" w:name="supplier-vendor"/>
    <w:p>
      <w:pPr>
        <w:pStyle w:val="Heading3"/>
      </w:pPr>
      <w:r>
        <w:t xml:space="preserve">Supplier / Vendor</w:t>
      </w:r>
    </w:p>
    <w:p>
      <w:pPr>
        <w:pStyle w:val="FirstParagraph"/>
      </w:pPr>
      <w:r>
        <w:rPr>
          <w:bCs/>
          <w:b/>
        </w:rPr>
        <w:t xml:space="preserve">OptiSupply Middle East LLC</w:t>
      </w:r>
    </w:p>
    <w:p>
      <w:pPr>
        <w:pStyle w:val="BodyText"/>
      </w:pPr>
      <w:r>
        <w:t xml:space="preserve">Al Rayyan Industrial Area, Zone 3</w:t>
      </w:r>
    </w:p>
    <w:p>
      <w:pPr>
        <w:pStyle w:val="BodyText"/>
      </w:pPr>
      <w:r>
        <w:t xml:space="preserve">Doha, State of Qatar</w:t>
      </w:r>
    </w:p>
    <w:p>
      <w:pPr>
        <w:pStyle w:val="BodyText"/>
      </w:pPr>
      <w:r>
        <w:t xml:space="preserve">Tel: +974 4455 6677</w:t>
      </w:r>
    </w:p>
    <w:p>
      <w:pPr>
        <w:pStyle w:val="BodyText"/>
      </w:pPr>
      <w:r>
        <w:t xml:space="preserve">Email: orders@optisupply-me.com</w:t>
      </w:r>
    </w:p>
    <w:p>
      <w:pPr>
        <w:pStyle w:val="BodyText"/>
      </w:pPr>
      <w:r>
        <w:t xml:space="preserve">CR No. 2918374</w:t>
      </w:r>
    </w:p>
    <w:bookmarkEnd w:id="21"/>
    <w:bookmarkStart w:id="22" w:name="bill-to-ship-to"/>
    <w:p>
      <w:pPr>
        <w:pStyle w:val="Heading3"/>
      </w:pPr>
      <w:r>
        <w:t xml:space="preserve">Bill To / Ship To</w:t>
      </w:r>
    </w:p>
    <w:p>
      <w:pPr>
        <w:pStyle w:val="FirstParagraph"/>
      </w:pPr>
      <w:r>
        <w:rPr>
          <w:bCs/>
          <w:b/>
        </w:rPr>
        <w:t xml:space="preserve">ClearVision Optometry Center</w:t>
      </w:r>
    </w:p>
    <w:p>
      <w:pPr>
        <w:pStyle w:val="BodyText"/>
      </w:pPr>
      <w:r>
        <w:t xml:space="preserve">Level 4, The Pearl – Qanat Quartier</w:t>
      </w:r>
    </w:p>
    <w:p>
      <w:pPr>
        <w:pStyle w:val="BodyText"/>
      </w:pPr>
      <w:r>
        <w:t xml:space="preserve">Doha, State of Qatar</w:t>
      </w:r>
    </w:p>
    <w:p>
      <w:pPr>
        <w:pStyle w:val="BodyText"/>
      </w:pPr>
      <w:r>
        <w:t xml:space="preserve">Attn: Dr. Sarah Al-Mansouri, Lead Optometrist</w:t>
      </w:r>
    </w:p>
    <w:p>
      <w:pPr>
        <w:pStyle w:val="BodyText"/>
      </w:pPr>
      <w:r>
        <w:t xml:space="preserve">Tel: +974 4012 3456</w:t>
      </w:r>
    </w:p>
    <w:p>
      <w:pPr>
        <w:pStyle w:val="BodyText"/>
      </w:pPr>
      <w:r>
        <w:t xml:space="preserve">Email: procurement@clearvision-qatar.com</w:t>
      </w:r>
    </w:p>
    <w:bookmarkEnd w:id="22"/>
    <w:p>
      <w:pPr>
        <w:pStyle w:val="BodyText"/>
      </w:pPr>
      <w:r>
        <w:t xml:space="preserve">Order Details – Optometrist Equipment &amp; Consumables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(QAR)</w:t>
            </w:r>
          </w:p>
        </w:tc>
        <w:tc>
          <w:tcPr/>
          <w:p>
            <w:pPr>
              <w:pStyle w:val="Compact"/>
              <w:jc w:val="left"/>
            </w:pPr>
            <w:r>
              <w:t xml:space="preserve">Total (QAR)</w:t>
            </w:r>
          </w:p>
        </w:tc>
      </w:tr>
      <w:tr>
        <w:tc>
          <w:tcPr/>
          <w:p>
            <w:pPr>
              <w:pStyle w:val="Compact"/>
              <w:jc w:val="left"/>
            </w:pPr>
            <w:r>
              <w:t xml:space="preserve">001</w:t>
            </w:r>
          </w:p>
        </w:tc>
        <w:tc>
          <w:tcPr/>
          <w:p>
            <w:pPr>
              <w:pStyle w:val="Compact"/>
              <w:jc w:val="left"/>
            </w:pPr>
            <w:r>
              <w:t xml:space="preserve">Digital Autorefractor (Nidek ARK-530A) – for Optometrist diagnostic use</w:t>
            </w:r>
          </w:p>
        </w:tc>
        <w:tc>
          <w:tcPr/>
          <w:p>
            <w:pPr>
              <w:pStyle w:val="Compact"/>
              <w:jc w:val="left"/>
            </w:pPr>
            <w:r>
              <w:t xml:space="preserve">2</w:t>
            </w:r>
          </w:p>
        </w:tc>
        <w:tc>
          <w:tcPr/>
          <w:p>
            <w:pPr>
              <w:pStyle w:val="Compact"/>
              <w:jc w:val="left"/>
            </w:pPr>
            <w:r>
              <w:t xml:space="preserve">Unit</w:t>
            </w:r>
          </w:p>
        </w:tc>
        <w:tc>
          <w:tcPr/>
          <w:p>
            <w:pPr>
              <w:pStyle w:val="Compact"/>
              <w:jc w:val="left"/>
            </w:pPr>
            <w:r>
              <w:t xml:space="preserve">48,500.00</w:t>
            </w:r>
          </w:p>
        </w:tc>
        <w:tc>
          <w:tcPr/>
          <w:p>
            <w:pPr>
              <w:pStyle w:val="Compact"/>
              <w:jc w:val="left"/>
            </w:pPr>
            <w:r>
              <w:t xml:space="preserve">97,000.00</w:t>
            </w:r>
          </w:p>
        </w:tc>
      </w:tr>
      <w:tr>
        <w:tc>
          <w:tcPr/>
          <w:p>
            <w:pPr>
              <w:pStyle w:val="Compact"/>
              <w:jc w:val="left"/>
            </w:pPr>
            <w:r>
              <w:t xml:space="preserve">002</w:t>
            </w:r>
          </w:p>
        </w:tc>
        <w:tc>
          <w:tcPr/>
          <w:p>
            <w:pPr>
              <w:pStyle w:val="Compact"/>
              <w:jc w:val="left"/>
            </w:pPr>
            <w:r>
              <w:t xml:space="preserve">Phoropter (Humphrey 290) – standard Optometrist examination instrument</w:t>
            </w:r>
          </w:p>
        </w:tc>
        <w:tc>
          <w:tcPr/>
          <w:p>
            <w:pPr>
              <w:pStyle w:val="Compact"/>
              <w:jc w:val="left"/>
            </w:pPr>
            <w:r>
              <w:t xml:space="preserve">3</w:t>
            </w:r>
          </w:p>
        </w:tc>
        <w:tc>
          <w:tcPr/>
          <w:p>
            <w:pPr>
              <w:pStyle w:val="Compact"/>
              <w:jc w:val="left"/>
            </w:pPr>
            <w:r>
              <w:t xml:space="preserve">Unit</w:t>
            </w:r>
          </w:p>
        </w:tc>
        <w:tc>
          <w:tcPr/>
          <w:p>
            <w:pPr>
              <w:pStyle w:val="Compact"/>
              <w:jc w:val="left"/>
            </w:pPr>
            <w:r>
              <w:t xml:space="preserve">32,000.00</w:t>
            </w:r>
          </w:p>
        </w:tc>
        <w:tc>
          <w:tcPr/>
          <w:p>
            <w:pPr>
              <w:pStyle w:val="Compact"/>
              <w:jc w:val="left"/>
            </w:pPr>
            <w:r>
              <w:t xml:space="preserve">96,000.00</w:t>
            </w:r>
          </w:p>
        </w:tc>
      </w:tr>
      <w:tr>
        <w:tc>
          <w:tcPr/>
          <w:p>
            <w:pPr>
              <w:pStyle w:val="Compact"/>
              <w:jc w:val="left"/>
            </w:pPr>
            <w:r>
              <w:t xml:space="preserve">003</w:t>
            </w:r>
          </w:p>
        </w:tc>
        <w:tc>
          <w:tcPr/>
          <w:p>
            <w:pPr>
              <w:pStyle w:val="Compact"/>
              <w:jc w:val="left"/>
            </w:pPr>
            <w:r>
              <w:t xml:space="preserve">Non-Mydriatic Fundus Camera (Topcon TRC-NW6S)</w:t>
            </w:r>
          </w:p>
        </w:tc>
        <w:tc>
          <w:tcPr/>
          <w:p>
            <w:pPr>
              <w:pStyle w:val="Compact"/>
              <w:jc w:val="left"/>
            </w:pPr>
            <w:r>
              <w:t xml:space="preserve">1</w:t>
            </w:r>
          </w:p>
        </w:tc>
        <w:tc>
          <w:tcPr/>
          <w:p>
            <w:pPr>
              <w:pStyle w:val="Compact"/>
              <w:jc w:val="left"/>
            </w:pPr>
            <w:r>
              <w:t xml:space="preserve">Unit</w:t>
            </w:r>
          </w:p>
        </w:tc>
        <w:tc>
          <w:tcPr/>
          <w:p>
            <w:pPr>
              <w:pStyle w:val="Compact"/>
              <w:jc w:val="left"/>
            </w:pPr>
            <w:r>
              <w:t xml:space="preserve">185,000.00</w:t>
            </w:r>
          </w:p>
        </w:tc>
        <w:tc>
          <w:tcPr/>
          <w:p>
            <w:pPr>
              <w:pStyle w:val="Compact"/>
              <w:jc w:val="left"/>
            </w:pPr>
            <w:r>
              <w:t xml:space="preserve">185,000.00</w:t>
            </w:r>
          </w:p>
        </w:tc>
      </w:tr>
      <w:tr>
        <w:tc>
          <w:tcPr/>
          <w:p>
            <w:pPr>
              <w:pStyle w:val="Compact"/>
              <w:jc w:val="left"/>
            </w:pPr>
            <w:r>
              <w:t xml:space="preserve">004</w:t>
            </w:r>
          </w:p>
        </w:tc>
        <w:tc>
          <w:tcPr/>
          <w:p>
            <w:pPr>
              <w:pStyle w:val="Compact"/>
              <w:jc w:val="left"/>
            </w:pPr>
            <w:r>
              <w:t xml:space="preserve">Optical Lenses – Single Vision (Zeiss 1.67 Index), assorted prescriptions</w:t>
            </w:r>
          </w:p>
        </w:tc>
        <w:tc>
          <w:tcPr/>
          <w:p>
            <w:pPr>
              <w:pStyle w:val="Compact"/>
              <w:jc w:val="left"/>
            </w:pPr>
            <w:r>
              <w:t xml:space="preserve">200</w:t>
            </w:r>
          </w:p>
        </w:tc>
        <w:tc>
          <w:tcPr/>
          <w:p>
            <w:pPr>
              <w:pStyle w:val="Compact"/>
              <w:jc w:val="left"/>
            </w:pPr>
            <w:r>
              <w:t xml:space="preserve">Pairs</w:t>
            </w:r>
          </w:p>
        </w:tc>
        <w:tc>
          <w:tcPr/>
          <w:p>
            <w:pPr>
              <w:pStyle w:val="Compact"/>
              <w:jc w:val="left"/>
            </w:pPr>
            <w:r>
              <w:t xml:space="preserve">420.00</w:t>
            </w:r>
          </w:p>
        </w:tc>
        <w:tc>
          <w:tcPr/>
          <w:p>
            <w:pPr>
              <w:pStyle w:val="Compact"/>
              <w:jc w:val="left"/>
            </w:pPr>
            <w:r>
              <w:t xml:space="preserve">84,000.00</w:t>
            </w:r>
          </w:p>
        </w:tc>
      </w:tr>
      <w:tr>
        <w:tc>
          <w:tcPr/>
          <w:p>
            <w:pPr>
              <w:pStyle w:val="Compact"/>
              <w:jc w:val="left"/>
            </w:pPr>
            <w:r>
              <w:t xml:space="preserve">005</w:t>
            </w:r>
          </w:p>
        </w:tc>
        <w:tc>
          <w:tcPr/>
          <w:p>
            <w:pPr>
              <w:pStyle w:val="Compact"/>
              <w:jc w:val="left"/>
            </w:pPr>
            <w:r>
              <w:t xml:space="preserve">Optical Lenses – Progressive (Essilor Varilux X Series)</w:t>
            </w:r>
          </w:p>
        </w:tc>
        <w:tc>
          <w:tcPr/>
          <w:p>
            <w:pPr>
              <w:pStyle w:val="Compact"/>
              <w:jc w:val="left"/>
            </w:pPr>
            <w:r>
              <w:t xml:space="preserve">120</w:t>
            </w:r>
          </w:p>
        </w:tc>
        <w:tc>
          <w:tcPr/>
          <w:p>
            <w:pPr>
              <w:pStyle w:val="Compact"/>
              <w:jc w:val="left"/>
            </w:pPr>
            <w:r>
              <w:t xml:space="preserve">Pairs</w:t>
            </w:r>
          </w:p>
        </w:tc>
        <w:tc>
          <w:tcPr/>
          <w:p>
            <w:pPr>
              <w:pStyle w:val="Compact"/>
              <w:jc w:val="left"/>
            </w:pPr>
            <w:r>
              <w:t xml:space="preserve">680.00</w:t>
            </w:r>
          </w:p>
        </w:tc>
        <w:tc>
          <w:tcPr/>
          <w:p>
            <w:pPr>
              <w:pStyle w:val="Compact"/>
              <w:jc w:val="left"/>
            </w:pPr>
            <w:r>
              <w:t xml:space="preserve">81,600.00</w:t>
            </w:r>
          </w:p>
        </w:tc>
      </w:tr>
      <w:tr>
        <w:tc>
          <w:tcPr/>
          <w:p>
            <w:pPr>
              <w:pStyle w:val="Compact"/>
              <w:jc w:val="left"/>
            </w:pPr>
            <w:r>
              <w:t xml:space="preserve">006</w:t>
            </w:r>
          </w:p>
        </w:tc>
        <w:tc>
          <w:tcPr/>
          <w:p>
            <w:pPr>
              <w:pStyle w:val="Compact"/>
              <w:jc w:val="left"/>
            </w:pPr>
            <w:r>
              <w:t xml:space="preserve">Optical Frames – Designer Collection (Ray-Ban, Oakley, Persol)</w:t>
            </w:r>
          </w:p>
        </w:tc>
        <w:tc>
          <w:tcPr/>
          <w:p>
            <w:pPr>
              <w:pStyle w:val="Compact"/>
              <w:jc w:val="left"/>
            </w:pPr>
            <w:r>
              <w:t xml:space="preserve">150</w:t>
            </w:r>
          </w:p>
        </w:tc>
        <w:tc>
          <w:tcPr/>
          <w:p>
            <w:pPr>
              <w:pStyle w:val="Compact"/>
              <w:jc w:val="left"/>
            </w:pPr>
            <w:r>
              <w:t xml:space="preserve">Units</w:t>
            </w:r>
          </w:p>
        </w:tc>
        <w:tc>
          <w:tcPr/>
          <w:p>
            <w:pPr>
              <w:pStyle w:val="Compact"/>
              <w:jc w:val="left"/>
            </w:pPr>
            <w:r>
              <w:t xml:space="preserve">350.00</w:t>
            </w:r>
          </w:p>
        </w:tc>
        <w:tc>
          <w:tcPr/>
          <w:p>
            <w:pPr>
              <w:pStyle w:val="Compact"/>
              <w:jc w:val="left"/>
            </w:pPr>
            <w:r>
              <w:t xml:space="preserve">52,500.00</w:t>
            </w:r>
          </w:p>
        </w:tc>
      </w:tr>
      <w:tr>
        <w:tc>
          <w:tcPr/>
          <w:p>
            <w:pPr>
              <w:pStyle w:val="Compact"/>
              <w:jc w:val="left"/>
            </w:pPr>
            <w:r>
              <w:t xml:space="preserve">007</w:t>
            </w:r>
          </w:p>
        </w:tc>
        <w:tc>
          <w:tcPr/>
          <w:p>
            <w:pPr>
              <w:pStyle w:val="Compact"/>
              <w:jc w:val="left"/>
            </w:pPr>
            <w:r>
              <w:t xml:space="preserve">Contact Lenses – Daily Disposable (Acuvue Oasys 1-Day), assorted powers</w:t>
            </w:r>
          </w:p>
        </w:tc>
        <w:tc>
          <w:tcPr/>
          <w:p>
            <w:pPr>
              <w:pStyle w:val="Compact"/>
              <w:jc w:val="left"/>
            </w:pPr>
            <w:r>
              <w:t xml:space="preserve">500</w:t>
            </w:r>
          </w:p>
        </w:tc>
        <w:tc>
          <w:tcPr/>
          <w:p>
            <w:pPr>
              <w:pStyle w:val="Compact"/>
              <w:jc w:val="left"/>
            </w:pPr>
            <w:r>
              <w:t xml:space="preserve">Boxes</w:t>
            </w:r>
          </w:p>
        </w:tc>
        <w:tc>
          <w:tcPr/>
          <w:p>
            <w:pPr>
              <w:pStyle w:val="Compact"/>
              <w:jc w:val="left"/>
            </w:pPr>
            <w:r>
              <w:t xml:space="preserve">185.00</w:t>
            </w:r>
          </w:p>
        </w:tc>
        <w:tc>
          <w:tcPr/>
          <w:p>
            <w:pPr>
              <w:pStyle w:val="Compact"/>
              <w:jc w:val="left"/>
            </w:pPr>
            <w:r>
              <w:t xml:space="preserve">92,500.00</w:t>
            </w:r>
          </w:p>
        </w:tc>
      </w:tr>
      <w:tr>
        <w:tc>
          <w:tcPr/>
          <w:p>
            <w:pPr>
              <w:pStyle w:val="Compact"/>
              <w:jc w:val="left"/>
            </w:pPr>
            <w:r>
              <w:t xml:space="preserve">008</w:t>
            </w:r>
          </w:p>
        </w:tc>
        <w:tc>
          <w:tcPr/>
          <w:p>
            <w:pPr>
              <w:pStyle w:val="Compact"/>
              <w:jc w:val="left"/>
            </w:pPr>
            <w:r>
              <w:t xml:space="preserve">Slit Lamp Biomicroscope (Heine Lambda 2)</w:t>
            </w:r>
          </w:p>
        </w:tc>
        <w:tc>
          <w:tcPr/>
          <w:p>
            <w:pPr>
              <w:pStyle w:val="Compact"/>
              <w:jc w:val="left"/>
            </w:pPr>
            <w:r>
              <w:t xml:space="preserve">2</w:t>
            </w:r>
          </w:p>
        </w:tc>
        <w:tc>
          <w:tcPr/>
          <w:p>
            <w:pPr>
              <w:pStyle w:val="Compact"/>
              <w:jc w:val="left"/>
            </w:pPr>
            <w:r>
              <w:t xml:space="preserve">Unit</w:t>
            </w:r>
          </w:p>
        </w:tc>
        <w:tc>
          <w:tcPr/>
          <w:p>
            <w:pPr>
              <w:pStyle w:val="Compact"/>
              <w:jc w:val="left"/>
            </w:pPr>
            <w:r>
              <w:t xml:space="preserve">28,000.00</w:t>
            </w:r>
          </w:p>
        </w:tc>
        <w:tc>
          <w:tcPr/>
          <w:p>
            <w:pPr>
              <w:pStyle w:val="Compact"/>
              <w:jc w:val="left"/>
            </w:pPr>
            <w:r>
              <w:t xml:space="preserve">56,000.00</w:t>
            </w:r>
          </w:p>
        </w:tc>
      </w:tr>
      <w:tr>
        <w:tc>
          <w:tcPr/>
          <w:p>
            <w:pPr>
              <w:pStyle w:val="Compact"/>
              <w:jc w:val="left"/>
            </w:pPr>
            <w:r>
              <w:t xml:space="preserve">009</w:t>
            </w:r>
          </w:p>
        </w:tc>
        <w:tc>
          <w:tcPr/>
          <w:p>
            <w:pPr>
              <w:pStyle w:val="Compact"/>
              <w:jc w:val="left"/>
            </w:pPr>
            <w:r>
              <w:t xml:space="preserve">Visual Acuity Charts &amp; Optometrist Test Kits (complete set)</w:t>
            </w:r>
          </w:p>
        </w:tc>
        <w:tc>
          <w:tcPr/>
          <w:p>
            <w:pPr>
              <w:pStyle w:val="Compact"/>
              <w:jc w:val="left"/>
            </w:pPr>
            <w:r>
              <w:t xml:space="preserve">10</w:t>
            </w:r>
          </w:p>
        </w:tc>
        <w:tc>
          <w:tcPr/>
          <w:p>
            <w:pPr>
              <w:pStyle w:val="Compact"/>
              <w:jc w:val="left"/>
            </w:pPr>
            <w:r>
              <w:t xml:space="preserve">Sets</w:t>
            </w:r>
          </w:p>
        </w:tc>
        <w:tc>
          <w:tcPr/>
          <w:p>
            <w:pPr>
              <w:pStyle w:val="Compact"/>
              <w:jc w:val="left"/>
            </w:pPr>
            <w:r>
              <w:t xml:space="preserve">1,200.00</w:t>
            </w:r>
          </w:p>
        </w:tc>
        <w:tc>
          <w:tcPr/>
          <w:p>
            <w:pPr>
              <w:pStyle w:val="Compact"/>
              <w:jc w:val="left"/>
            </w:pPr>
            <w:r>
              <w:t xml:space="preserve">12,000.00</w:t>
            </w:r>
          </w:p>
        </w:tc>
      </w:tr>
      <w:tr>
        <w:tc>
          <w:tcPr/>
          <w:p>
            <w:pPr>
              <w:pStyle w:val="Compact"/>
              <w:jc w:val="left"/>
            </w:pPr>
            <w:r>
              <w:t xml:space="preserve">010</w:t>
            </w:r>
          </w:p>
        </w:tc>
        <w:tc>
          <w:tcPr/>
          <w:p>
            <w:pPr>
              <w:pStyle w:val="Compact"/>
              <w:jc w:val="left"/>
            </w:pPr>
            <w:r>
              <w:t xml:space="preserve">UV-Protective Coating Solution &amp; Lens Cleaning Supplies (annual stock)</w:t>
            </w:r>
          </w:p>
        </w:tc>
        <w:tc>
          <w:tcPr/>
          <w:p>
            <w:pPr>
              <w:pStyle w:val="Compact"/>
              <w:jc w:val="left"/>
            </w:pPr>
            <w:r>
              <w:t xml:space="preserve">50</w:t>
            </w:r>
          </w:p>
        </w:tc>
        <w:tc>
          <w:tcPr/>
          <w:p>
            <w:pPr>
              <w:pStyle w:val="Compact"/>
              <w:jc w:val="left"/>
            </w:pPr>
            <w:r>
              <w:t xml:space="preserve">Units</w:t>
            </w:r>
          </w:p>
        </w:tc>
        <w:tc>
          <w:tcPr/>
          <w:p>
            <w:pPr>
              <w:pStyle w:val="Compact"/>
              <w:jc w:val="left"/>
            </w:pPr>
            <w:r>
              <w:t xml:space="preserve">95.00</w:t>
            </w:r>
          </w:p>
        </w:tc>
        <w:tc>
          <w:tcPr/>
          <w:p>
            <w:pPr>
              <w:pStyle w:val="Compact"/>
              <w:jc w:val="left"/>
            </w:pPr>
            <w:r>
              <w:t xml:space="preserve">4,750.00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761,350.00 QAR</w:t>
            </w:r>
          </w:p>
        </w:tc>
      </w:tr>
      <w:tr>
        <w:tc>
          <w:tcPr/>
          <w:p>
            <w:pPr>
              <w:pStyle w:val="Compact"/>
              <w:jc w:val="left"/>
            </w:pPr>
            <w:r>
              <w:t xml:space="preserve">VAT (14% – Qatar Standard Rate)</w:t>
            </w:r>
          </w:p>
        </w:tc>
        <w:tc>
          <w:tcPr/>
          <w:p>
            <w:pPr>
              <w:pStyle w:val="Compact"/>
              <w:jc w:val="right"/>
            </w:pPr>
            <w:r>
              <w:t xml:space="preserve">106,589.00 QAR</w:t>
            </w:r>
          </w:p>
        </w:tc>
      </w:tr>
      <w:tr>
        <w:tc>
          <w:tcPr/>
          <w:p>
            <w:pPr>
              <w:pStyle w:val="Compact"/>
              <w:jc w:val="left"/>
            </w:pPr>
            <w:r>
              <w:t xml:space="preserve">Shipping &amp; Handling (within Doha, Qatar)</w:t>
            </w:r>
          </w:p>
        </w:tc>
        <w:tc>
          <w:tcPr/>
          <w:p>
            <w:pPr>
              <w:pStyle w:val="Compact"/>
              <w:jc w:val="right"/>
            </w:pPr>
            <w:r>
              <w:t xml:space="preserve">3,500.00 QAR</w:t>
            </w:r>
          </w:p>
        </w:tc>
      </w:tr>
      <w:tr>
        <w:tc>
          <w:tcPr/>
          <w:p>
            <w:pPr>
              <w:pStyle w:val="Compact"/>
              <w:jc w:val="left"/>
            </w:pPr>
            <w:r>
              <w:t xml:space="preserve">Grand Total</w:t>
            </w:r>
          </w:p>
        </w:tc>
        <w:tc>
          <w:tcPr/>
          <w:p>
            <w:pPr>
              <w:pStyle w:val="Compact"/>
              <w:jc w:val="right"/>
            </w:pPr>
            <w:r>
              <w:t xml:space="preserve">871,439.00 QAR</w:t>
            </w:r>
          </w:p>
        </w:tc>
      </w:tr>
    </w:tbl>
    <w:p>
      <w:pPr>
        <w:pStyle w:val="BodyText"/>
      </w:pPr>
      <w:r>
        <w:t xml:space="preserve">Terms &amp; Conditions</w:t>
      </w:r>
    </w:p>
    <w:p>
      <w:pPr>
        <w:numPr>
          <w:ilvl w:val="0"/>
          <w:numId w:val="1001"/>
        </w:numPr>
        <w:pStyle w:val="Compact"/>
      </w:pPr>
      <w:r>
        <w:t xml:space="preserve">This</w:t>
      </w:r>
      <w:r>
        <w:t xml:space="preserve"> </w:t>
      </w:r>
      <w:r>
        <w:t xml:space="preserve">Purchase Order</w:t>
      </w:r>
      <w:r>
        <w:t xml:space="preserve"> </w:t>
      </w:r>
      <w:r>
        <w:t xml:space="preserve">is issued by ClearVision Optometry Center, a licensed Optometrist practice registered with the Ministry of Public Health, State of Qatar, and is valid for acceptance within five (5) business days from the date of issue.</w:t>
      </w:r>
    </w:p>
    <w:p>
      <w:pPr>
        <w:numPr>
          <w:ilvl w:val="0"/>
          <w:numId w:val="1001"/>
        </w:numPr>
        <w:pStyle w:val="Compact"/>
      </w:pPr>
      <w:r>
        <w:t xml:space="preserve">All equipment and consumables listed herein are intended for use by the licensed Optometrist team at our Doha, Qatar clinic located at The Pearl – Qanat Quartier. The supplier shall ensure that all diagnostic instruments comply with the Qatar Standards and Metrology Organization (QSMO) regulations and carry valid CE or equivalent certification.</w:t>
      </w:r>
    </w:p>
    <w:p>
      <w:pPr>
        <w:numPr>
          <w:ilvl w:val="0"/>
          <w:numId w:val="1001"/>
        </w:numPr>
        <w:pStyle w:val="Compact"/>
      </w:pPr>
      <w:r>
        <w:t xml:space="preserve">Delivery shall be made to the specified address in Doha, Qatar, no later than 28 June 2025. The supplier is responsible for all customs clearance, import duties, and local logistics within the State of Qatar. Any delays attributable to the supplier will incur a penalty of 1% of the total</w:t>
      </w:r>
      <w:r>
        <w:t xml:space="preserve"> </w:t>
      </w:r>
      <w:r>
        <w:t xml:space="preserve">Purchase Order</w:t>
      </w:r>
      <w:r>
        <w:t xml:space="preserve"> </w:t>
      </w:r>
      <w:r>
        <w:t xml:space="preserve">value per day of delay.</w:t>
      </w:r>
    </w:p>
    <w:p>
      <w:pPr>
        <w:numPr>
          <w:ilvl w:val="0"/>
          <w:numId w:val="1001"/>
        </w:numPr>
        <w:pStyle w:val="Compact"/>
      </w:pPr>
      <w:r>
        <w:t xml:space="preserve">Payment shall be processed via bank transfer to the supplier's designated account in Qatari Riyals (QAR) within thirty (30) calendar days of receipt of a valid tax invoice and confirmed delivery. The</w:t>
      </w:r>
      <w:r>
        <w:t xml:space="preserve"> </w:t>
      </w:r>
      <w:r>
        <w:t xml:space="preserve">Purchase Order</w:t>
      </w:r>
      <w:r>
        <w:t xml:space="preserve"> </w:t>
      </w:r>
      <w:r>
        <w:t xml:space="preserve">number PO-QD-2025-00472 must be referenced on all invoices.</w:t>
      </w:r>
    </w:p>
    <w:p>
      <w:pPr>
        <w:numPr>
          <w:ilvl w:val="0"/>
          <w:numId w:val="1001"/>
        </w:numPr>
        <w:pStyle w:val="Compact"/>
      </w:pPr>
      <w:r>
        <w:t xml:space="preserve">All optical equipment is subject to a minimum two-year manufacturer's warranty. The Optometrist team at our clinic will conduct a full acceptance inspection upon delivery. Any items found defective, damaged, or non-conforming to the specifications outlined in this</w:t>
      </w:r>
      <w:r>
        <w:t xml:space="preserve"> </w:t>
      </w:r>
      <w:r>
        <w:t xml:space="preserve">Purchase Order</w:t>
      </w:r>
      <w:r>
        <w:t xml:space="preserve"> </w:t>
      </w:r>
      <w:r>
        <w:t xml:space="preserve">must be replaced within seven (7) business days at the supplier's sole expense.</w:t>
      </w:r>
    </w:p>
    <w:p>
      <w:pPr>
        <w:numPr>
          <w:ilvl w:val="0"/>
          <w:numId w:val="1001"/>
        </w:numPr>
        <w:pStyle w:val="Compact"/>
      </w:pPr>
      <w:r>
        <w:t xml:space="preserve">The supplier warrants that all products are new, unused, and free from any encumbrance. Contact lenses and optical lenses must carry a minimum expiry date of eighteen (18) months from the date of delivery to ensure compliance with Qatar's pharmaceutical and medical device regulations.</w:t>
      </w:r>
    </w:p>
    <w:p>
      <w:pPr>
        <w:numPr>
          <w:ilvl w:val="0"/>
          <w:numId w:val="1001"/>
        </w:numPr>
        <w:pStyle w:val="Compact"/>
      </w:pPr>
      <w:r>
        <w:t xml:space="preserve">This</w:t>
      </w:r>
      <w:r>
        <w:t xml:space="preserve"> </w:t>
      </w:r>
      <w:r>
        <w:t xml:space="preserve">Purchase Order</w:t>
      </w:r>
      <w:r>
        <w:t xml:space="preserve"> </w:t>
      </w:r>
      <w:r>
        <w:t xml:space="preserve">is governed by the laws of the State of Qatar. Any disputes arising from this transaction shall be resolved through the competent courts in Doha, Qatar. Both parties agree to attempt amicable resolution before initiating any legal proceedings.</w:t>
      </w:r>
    </w:p>
    <w:p>
      <w:pPr>
        <w:numPr>
          <w:ilvl w:val="0"/>
          <w:numId w:val="1001"/>
        </w:numPr>
        <w:pStyle w:val="Compact"/>
      </w:pPr>
      <w:r>
        <w:t xml:space="preserve">The supplier acknowledges that this</w:t>
      </w:r>
      <w:r>
        <w:t xml:space="preserve"> </w:t>
      </w:r>
      <w:r>
        <w:t xml:space="preserve">Purchase Order</w:t>
      </w:r>
      <w:r>
        <w:t xml:space="preserve"> </w:t>
      </w:r>
      <w:r>
        <w:t xml:space="preserve">supports the operations of a registered Optometrist facility serving the community of Doha, Qatar, and agrees to maintain strict confidentiality regarding patient-related data, clinic operations, and proprietary business information exchanged during the course of this transaction.</w:t>
      </w:r>
    </w:p>
    <w:p>
      <w:pPr>
        <w:pStyle w:val="FirstParagraph"/>
      </w:pPr>
      <w:r>
        <w:t xml:space="preserve">Authorization &amp; Signatures</w:t>
      </w:r>
    </w:p>
    <w:p>
      <w:pPr>
        <w:pStyle w:val="BodyText"/>
      </w:pPr>
      <w:r>
        <w:t xml:space="preserve">Prepared By (Buyer)</w:t>
      </w:r>
    </w:p>
    <w:p>
      <w:pPr>
        <w:pStyle w:val="BodyText"/>
      </w:pPr>
      <w:r>
        <w:t xml:space="preserve">Dr. Sarah Al-Mansouri</w:t>
      </w:r>
    </w:p>
    <w:p>
      <w:pPr>
        <w:pStyle w:val="BodyText"/>
      </w:pPr>
      <w:r>
        <w:t xml:space="preserve">Lead Optometrist / Procurement Head</w:t>
      </w:r>
    </w:p>
    <w:p>
      <w:pPr>
        <w:pStyle w:val="BodyText"/>
      </w:pPr>
      <w:r>
        <w:t xml:space="preserve">ClearVision Optometry Center, Doha, Qatar</w:t>
      </w:r>
    </w:p>
    <w:p>
      <w:pPr>
        <w:pStyle w:val="BodyText"/>
      </w:pPr>
      <w:r>
        <w:t xml:space="preserve">Signature: ___________________________</w:t>
      </w:r>
    </w:p>
    <w:p>
      <w:pPr>
        <w:pStyle w:val="BodyText"/>
      </w:pPr>
      <w:r>
        <w:t xml:space="preserve">Date: 14 June 2025</w:t>
      </w:r>
    </w:p>
    <w:p>
      <w:pPr>
        <w:pStyle w:val="BodyText"/>
      </w:pPr>
      <w:r>
        <w:t xml:space="preserve">Accepted By (Supplier)</w:t>
      </w:r>
    </w:p>
    <w:p>
      <w:pPr>
        <w:pStyle w:val="BodyText"/>
      </w:pPr>
      <w:r>
        <w:t xml:space="preserve">Mr. Khalid Al-Thani</w:t>
      </w:r>
    </w:p>
    <w:p>
      <w:pPr>
        <w:pStyle w:val="BodyText"/>
      </w:pPr>
      <w:r>
        <w:t xml:space="preserve">Regional Sales Director</w:t>
      </w:r>
    </w:p>
    <w:p>
      <w:pPr>
        <w:pStyle w:val="BodyText"/>
      </w:pPr>
      <w:r>
        <w:t xml:space="preserve">OptiSupply Middle East LLC, Doha, Qatar</w:t>
      </w:r>
    </w:p>
    <w:p>
      <w:pPr>
        <w:pStyle w:val="BodyText"/>
      </w:pPr>
      <w:r>
        <w:t xml:space="preserve">Signature: ___________________________</w:t>
      </w:r>
    </w:p>
    <w:p>
      <w:pPr>
        <w:pStyle w:val="BodyText"/>
      </w:pPr>
      <w:r>
        <w:t xml:space="preserve">Date: ___________________________</w:t>
      </w:r>
    </w:p>
    <w:p>
      <w:pPr>
        <w:pStyle w:val="BodyText"/>
      </w:pPr>
      <w:r>
        <w:t xml:space="preserve">This</w:t>
      </w:r>
      <w:r>
        <w:t xml:space="preserve"> </w:t>
      </w:r>
      <w:r>
        <w:t xml:space="preserve">Purchase Order</w:t>
      </w:r>
      <w:r>
        <w:t xml:space="preserve"> </w:t>
      </w:r>
      <w:r>
        <w:t xml:space="preserve">document (PO-QD-2025-00472) was generated for the ClearVision Optometry Center, a licensed Optometrist practice in Doha, Qatar. All transactions are subject to the Commercial Law of the State of Qatar and the Qatar VAT Law (Law No. 27 of 2018). For inquiries, contact procurement@clearvision-qatar.com or call +974 4012 3456. This document is valid only when signed and stamped by both parties.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Optometrist Clinic - Qatar Doha</dc:title>
  <dc:creator/>
  <dc:language>en</dc:language>
  <cp:keywords/>
  <dcterms:created xsi:type="dcterms:W3CDTF">2026-10-10T06:10:31Z</dcterms:created>
  <dcterms:modified xsi:type="dcterms:W3CDTF">2026-10-10T06:10:31Z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