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Optometrist</w:t>
      </w:r>
      <w:r>
        <w:t xml:space="preserve"> </w:t>
      </w:r>
      <w:r>
        <w:t xml:space="preserve">Services</w:t>
      </w:r>
      <w:r>
        <w:t xml:space="preserve"> </w:t>
      </w:r>
      <w:r>
        <w:t xml:space="preserve">and</w:t>
      </w:r>
      <w:r>
        <w:t xml:space="preserve"> </w:t>
      </w:r>
      <w:r>
        <w:t xml:space="preserve">Equipment</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0" w:name="purchase-order"/>
    <w:p>
      <w:pPr>
        <w:pStyle w:val="Heading1"/>
      </w:pPr>
      <w:r>
        <w:t xml:space="preserve">PURCHASE ORDER</w:t>
      </w:r>
    </w:p>
    <w:p>
      <w:pPr>
        <w:pStyle w:val="FirstParagraph"/>
      </w:pPr>
      <w:r>
        <w:rPr>
          <w:bCs/>
          <w:b/>
        </w:rPr>
        <w:t xml:space="preserve">SaiGon Vision Care Group Co., Ltd.</w:t>
      </w:r>
    </w:p>
    <w:p>
      <w:pPr>
        <w:pStyle w:val="BodyText"/>
      </w:pPr>
      <w:r>
        <w:t xml:space="preserve">128 Nguyen Hue Boulevard, District 1, Ho Chi Minh City, Vietnam</w:t>
      </w:r>
    </w:p>
    <w:p>
      <w:pPr>
        <w:pStyle w:val="BodyText"/>
      </w:pPr>
      <w:r>
        <w:t xml:space="preserve">Tax Code: 0312456789 | Phone: +84 28 3822 4567 | Email: procurement@sagaivision.vn</w:t>
      </w:r>
    </w:p>
    <w:p>
      <w:pPr>
        <w:pStyle w:val="BodyText"/>
      </w:pPr>
      <w:r>
        <w:t xml:space="preserve">PO No: SGC-2025-00472</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Date:</w:t>
            </w:r>
          </w:p>
        </w:tc>
        <w:tc>
          <w:tcPr/>
          <w:p>
            <w:pPr>
              <w:pStyle w:val="Compact"/>
              <w:jc w:val="left"/>
            </w:pPr>
            <w:r>
              <w:t xml:space="preserve">15 June 2025</w:t>
            </w:r>
          </w:p>
        </w:tc>
        <w:tc>
          <w:tcPr/>
          <w:p>
            <w:pPr>
              <w:pStyle w:val="Compact"/>
              <w:jc w:val="left"/>
            </w:pPr>
            <w:r>
              <w:t xml:space="preserve">Required Delivery Date:</w:t>
            </w:r>
          </w:p>
        </w:tc>
        <w:tc>
          <w:tcPr/>
          <w:p>
            <w:pPr>
              <w:pStyle w:val="Compact"/>
              <w:jc w:val="left"/>
            </w:pPr>
            <w:r>
              <w:t xml:space="preserve">05 July 2025</w:t>
            </w:r>
          </w:p>
        </w:tc>
      </w:tr>
      <w:tr>
        <w:tc>
          <w:tcPr/>
          <w:p>
            <w:pPr>
              <w:pStyle w:val="Compact"/>
              <w:jc w:val="left"/>
            </w:pPr>
            <w:r>
              <w:t xml:space="preserve">Supplier / Vendor:</w:t>
            </w:r>
          </w:p>
        </w:tc>
        <w:tc>
          <w:tcPr/>
          <w:p>
            <w:pPr>
              <w:pStyle w:val="Compact"/>
              <w:jc w:val="left"/>
            </w:pPr>
            <w:r>
              <w:t xml:space="preserve">Dr. Nguyen Van Minh – Certified Optometrist, Minh Optical &amp; Vision Center</w:t>
            </w:r>
          </w:p>
        </w:tc>
        <w:tc>
          <w:tcPr/>
          <w:p>
            <w:pPr>
              <w:pStyle w:val="Compact"/>
              <w:jc w:val="left"/>
            </w:pPr>
            <w:r>
              <w:t xml:space="preserve">Supplier Tax Code:</w:t>
            </w:r>
          </w:p>
        </w:tc>
        <w:tc>
          <w:tcPr/>
          <w:p>
            <w:pPr>
              <w:pStyle w:val="Compact"/>
              <w:jc w:val="left"/>
            </w:pPr>
            <w:r>
              <w:t xml:space="preserve">0319876543</w:t>
            </w:r>
          </w:p>
        </w:tc>
      </w:tr>
      <w:tr>
        <w:tc>
          <w:tcPr/>
          <w:p>
            <w:pPr>
              <w:pStyle w:val="Compact"/>
              <w:jc w:val="left"/>
            </w:pPr>
            <w:r>
              <w:t xml:space="preserve">Supplier Address:</w:t>
            </w:r>
          </w:p>
        </w:tc>
        <w:tc>
          <w:tcPr/>
          <w:p>
            <w:pPr>
              <w:pStyle w:val="Compact"/>
              <w:jc w:val="left"/>
            </w:pPr>
            <w:r>
              <w:t xml:space="preserve">45 Le Duan Street, District 3, Ho Chi Minh City, Vietnam</w:t>
            </w:r>
          </w:p>
        </w:tc>
        <w:tc>
          <w:tcPr/>
          <w:p>
            <w:pPr>
              <w:pStyle w:val="Compact"/>
              <w:jc w:val="left"/>
            </w:pPr>
            <w:r>
              <w:t xml:space="preserve">Supplier Phone:</w:t>
            </w:r>
          </w:p>
        </w:tc>
        <w:tc>
          <w:tcPr/>
          <w:p>
            <w:pPr>
              <w:pStyle w:val="Compact"/>
              <w:jc w:val="left"/>
            </w:pPr>
            <w:r>
              <w:t xml:space="preserve">+84 28 3930 1234</w:t>
            </w:r>
          </w:p>
        </w:tc>
      </w:tr>
      <w:tr>
        <w:tc>
          <w:tcPr/>
          <w:p>
            <w:pPr>
              <w:pStyle w:val="Compact"/>
              <w:jc w:val="left"/>
            </w:pPr>
            <w:r>
              <w:t xml:space="preserve">Delivery Address:</w:t>
            </w:r>
          </w:p>
        </w:tc>
        <w:tc>
          <w:tcPr>
            <w:gridSpan w:val="3"/>
          </w:tcPr>
          <w:p>
            <w:pPr>
              <w:pStyle w:val="Compact"/>
              <w:jc w:val="left"/>
            </w:pPr>
            <w:r>
              <w:t xml:space="preserve">SaiGon Vision Care Group – Warehouse, 210 Tan Thuan Industrial Park, District 7, Ho Chi Minh City, Vietnam</w:t>
            </w:r>
          </w:p>
        </w:tc>
      </w:tr>
      <w:tr>
        <w:tc>
          <w:tcPr/>
          <w:p>
            <w:pPr>
              <w:pStyle w:val="Compact"/>
              <w:jc w:val="left"/>
            </w:pPr>
            <w:r>
              <w:t xml:space="preserve">Payment Terms:</w:t>
            </w:r>
          </w:p>
        </w:tc>
        <w:tc>
          <w:tcPr/>
          <w:p>
            <w:pPr>
              <w:pStyle w:val="Compact"/>
              <w:jc w:val="left"/>
            </w:pPr>
            <w:r>
              <w:t xml:space="preserve">Net 30 days from invoice date</w:t>
            </w:r>
          </w:p>
        </w:tc>
        <w:tc>
          <w:tcPr/>
          <w:p>
            <w:pPr>
              <w:pStyle w:val="Compact"/>
              <w:jc w:val="left"/>
            </w:pPr>
            <w:r>
              <w:t xml:space="preserve">Currency:</w:t>
            </w:r>
          </w:p>
        </w:tc>
        <w:tc>
          <w:tcPr/>
          <w:p>
            <w:pPr>
              <w:pStyle w:val="Compact"/>
              <w:jc w:val="left"/>
            </w:pPr>
            <w:r>
              <w:t xml:space="preserve">VND (Vietnamese Dong)</w:t>
            </w:r>
          </w:p>
        </w:tc>
      </w:tr>
      <w:tr>
        <w:tc>
          <w:tcPr/>
          <w:p>
            <w:pPr>
              <w:pStyle w:val="Compact"/>
              <w:jc w:val="left"/>
            </w:pPr>
            <w:r>
              <w:t xml:space="preserve">Prepared By:</w:t>
            </w:r>
          </w:p>
        </w:tc>
        <w:tc>
          <w:tcPr/>
          <w:p>
            <w:pPr>
              <w:pStyle w:val="Compact"/>
              <w:jc w:val="left"/>
            </w:pPr>
            <w:r>
              <w:t xml:space="preserve">Ms. Tran Thi Lan – Procurement Manager</w:t>
            </w:r>
          </w:p>
        </w:tc>
        <w:tc>
          <w:tcPr/>
          <w:p>
            <w:pPr>
              <w:pStyle w:val="Compact"/>
              <w:jc w:val="left"/>
            </w:pPr>
            <w:r>
              <w:t xml:space="preserve">Approved By:</w:t>
            </w:r>
          </w:p>
        </w:tc>
        <w:tc>
          <w:tcPr/>
          <w:p>
            <w:pPr>
              <w:pStyle w:val="Compact"/>
              <w:jc w:val="left"/>
            </w:pPr>
            <w:r>
              <w:t xml:space="preserve">Mr. Pham Quoc Bao – Director of Operations</w:t>
            </w:r>
          </w:p>
        </w:tc>
      </w:tr>
    </w:tbl>
    <w:p>
      <w:pPr>
        <w:pStyle w:val="BodyText"/>
      </w:pPr>
      <w:r>
        <w:t xml:space="preserve">PURCHASE ORDER LINE ITEMS – Optometrist Equipment &amp;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(VND)</w:t>
            </w:r>
          </w:p>
        </w:tc>
        <w:tc>
          <w:tcPr/>
          <w:p>
            <w:pPr>
              <w:pStyle w:val="Compact"/>
              <w:jc w:val="left"/>
            </w:pPr>
            <w:r>
              <w:t xml:space="preserve">Total (VND)</w:t>
            </w:r>
          </w:p>
        </w:tc>
      </w:tr>
      <w:tr>
        <w:tc>
          <w:tcPr/>
          <w:p>
            <w:pPr>
              <w:pStyle w:val="Compact"/>
              <w:jc w:val="left"/>
            </w:pPr>
            <w:r>
              <w:t xml:space="preserve">01</w:t>
            </w:r>
          </w:p>
        </w:tc>
        <w:tc>
          <w:tcPr/>
          <w:p>
            <w:pPr>
              <w:pStyle w:val="Compact"/>
              <w:jc w:val="left"/>
            </w:pPr>
            <w:r>
              <w:t xml:space="preserve">Topcon Auto Refractor AR-1100A – Digital autorefractor for optometrist use in patient eye examinations</w:t>
            </w:r>
          </w:p>
        </w:tc>
        <w:tc>
          <w:tcPr/>
          <w:p>
            <w:pPr>
              <w:pStyle w:val="Compact"/>
              <w:jc w:val="left"/>
            </w:pPr>
            <w:r>
              <w:t xml:space="preserve">2</w:t>
            </w:r>
          </w:p>
        </w:tc>
        <w:tc>
          <w:tcPr/>
          <w:p>
            <w:pPr>
              <w:pStyle w:val="Compact"/>
              <w:jc w:val="left"/>
            </w:pPr>
            <w:r>
              <w:t xml:space="preserve">Unit</w:t>
            </w:r>
          </w:p>
        </w:tc>
        <w:tc>
          <w:tcPr/>
          <w:p>
            <w:pPr>
              <w:pStyle w:val="Compact"/>
              <w:jc w:val="left"/>
            </w:pPr>
            <w:r>
              <w:t xml:space="preserve">85,000,000</w:t>
            </w:r>
          </w:p>
        </w:tc>
        <w:tc>
          <w:tcPr/>
          <w:p>
            <w:pPr>
              <w:pStyle w:val="Compact"/>
              <w:jc w:val="left"/>
            </w:pPr>
            <w:r>
              <w:t xml:space="preserve">170,000,000</w:t>
            </w:r>
          </w:p>
        </w:tc>
      </w:tr>
      <w:tr>
        <w:tc>
          <w:tcPr/>
          <w:p>
            <w:pPr>
              <w:pStyle w:val="Compact"/>
              <w:jc w:val="left"/>
            </w:pPr>
            <w:r>
              <w:t xml:space="preserve">02</w:t>
            </w:r>
          </w:p>
        </w:tc>
        <w:tc>
          <w:tcPr/>
          <w:p>
            <w:pPr>
              <w:pStyle w:val="Compact"/>
              <w:jc w:val="left"/>
            </w:pPr>
            <w:r>
              <w:t xml:space="preserve">Nidek OPK-1000K Plus – Keratometer for corneal curvature measurement by the optometrist</w:t>
            </w:r>
          </w:p>
        </w:tc>
        <w:tc>
          <w:tcPr/>
          <w:p>
            <w:pPr>
              <w:pStyle w:val="Compact"/>
              <w:jc w:val="left"/>
            </w:pPr>
            <w:r>
              <w:t xml:space="preserve">1</w:t>
            </w:r>
          </w:p>
        </w:tc>
        <w:tc>
          <w:tcPr/>
          <w:p>
            <w:pPr>
              <w:pStyle w:val="Compact"/>
              <w:jc w:val="left"/>
            </w:pPr>
            <w:r>
              <w:t xml:space="preserve">Unit</w:t>
            </w:r>
          </w:p>
        </w:tc>
        <w:tc>
          <w:tcPr/>
          <w:p>
            <w:pPr>
              <w:pStyle w:val="Compact"/>
              <w:jc w:val="left"/>
            </w:pPr>
            <w:r>
              <w:t xml:space="preserve">62,500,000</w:t>
            </w:r>
          </w:p>
        </w:tc>
        <w:tc>
          <w:tcPr/>
          <w:p>
            <w:pPr>
              <w:pStyle w:val="Compact"/>
              <w:jc w:val="left"/>
            </w:pPr>
            <w:r>
              <w:t xml:space="preserve">62,500,000</w:t>
            </w:r>
          </w:p>
        </w:tc>
      </w:tr>
      <w:tr>
        <w:tc>
          <w:tcPr/>
          <w:p>
            <w:pPr>
              <w:pStyle w:val="Compact"/>
              <w:jc w:val="left"/>
            </w:pPr>
            <w:r>
              <w:t xml:space="preserve">03</w:t>
            </w:r>
          </w:p>
        </w:tc>
        <w:tc>
          <w:tcPr/>
          <w:p>
            <w:pPr>
              <w:pStyle w:val="Compact"/>
              <w:jc w:val="left"/>
            </w:pPr>
            <w:r>
              <w:t xml:space="preserve">Essilor Varilux X Series Progressive Lenses – 200 pairs, prescribed by the optometrist for patient fitting</w:t>
            </w:r>
          </w:p>
        </w:tc>
        <w:tc>
          <w:tcPr/>
          <w:p>
            <w:pPr>
              <w:pStyle w:val="Compact"/>
              <w:jc w:val="left"/>
            </w:pPr>
            <w:r>
              <w:t xml:space="preserve">200</w:t>
            </w:r>
          </w:p>
        </w:tc>
        <w:tc>
          <w:tcPr/>
          <w:p>
            <w:pPr>
              <w:pStyle w:val="Compact"/>
              <w:jc w:val="left"/>
            </w:pPr>
            <w:r>
              <w:t xml:space="preserve">Pairs</w:t>
            </w:r>
          </w:p>
        </w:tc>
        <w:tc>
          <w:tcPr/>
          <w:p>
            <w:pPr>
              <w:pStyle w:val="Compact"/>
              <w:jc w:val="left"/>
            </w:pPr>
            <w:r>
              <w:t xml:space="preserve">1,850,000</w:t>
            </w:r>
          </w:p>
        </w:tc>
        <w:tc>
          <w:tcPr/>
          <w:p>
            <w:pPr>
              <w:pStyle w:val="Compact"/>
              <w:jc w:val="left"/>
            </w:pPr>
            <w:r>
              <w:t xml:space="preserve">370,000,000</w:t>
            </w:r>
          </w:p>
        </w:tc>
      </w:tr>
      <w:tr>
        <w:tc>
          <w:tcPr/>
          <w:p>
            <w:pPr>
              <w:pStyle w:val="Compact"/>
              <w:jc w:val="left"/>
            </w:pPr>
            <w:r>
              <w:t xml:space="preserve">04</w:t>
            </w:r>
          </w:p>
        </w:tc>
        <w:tc>
          <w:tcPr/>
          <w:p>
            <w:pPr>
              <w:pStyle w:val="Compact"/>
              <w:jc w:val="left"/>
            </w:pPr>
            <w:r>
              <w:t xml:space="preserve">Ray-Ban Optical Frames – Assorted styles for optometrist patient selection, District 1 showroom stock</w:t>
            </w:r>
          </w:p>
        </w:tc>
        <w:tc>
          <w:tcPr/>
          <w:p>
            <w:pPr>
              <w:pStyle w:val="Compact"/>
              <w:jc w:val="left"/>
            </w:pPr>
            <w:r>
              <w:t xml:space="preserve">150</w:t>
            </w:r>
          </w:p>
        </w:tc>
        <w:tc>
          <w:tcPr/>
          <w:p>
            <w:pPr>
              <w:pStyle w:val="Compact"/>
              <w:jc w:val="left"/>
            </w:pPr>
            <w:r>
              <w:t xml:space="preserve">Units</w:t>
            </w:r>
          </w:p>
        </w:tc>
        <w:tc>
          <w:tcPr/>
          <w:p>
            <w:pPr>
              <w:pStyle w:val="Compact"/>
              <w:jc w:val="left"/>
            </w:pPr>
            <w:r>
              <w:t xml:space="preserve">2,200,000</w:t>
            </w:r>
          </w:p>
        </w:tc>
        <w:tc>
          <w:tcPr/>
          <w:p>
            <w:pPr>
              <w:pStyle w:val="Compact"/>
              <w:jc w:val="left"/>
            </w:pPr>
            <w:r>
              <w:t xml:space="preserve">330,000,000</w:t>
            </w:r>
          </w:p>
        </w:tc>
      </w:tr>
      <w:tr>
        <w:tc>
          <w:tcPr/>
          <w:p>
            <w:pPr>
              <w:pStyle w:val="Compact"/>
              <w:jc w:val="left"/>
            </w:pPr>
            <w:r>
              <w:t xml:space="preserve">05</w:t>
            </w:r>
          </w:p>
        </w:tc>
        <w:tc>
          <w:tcPr/>
          <w:p>
            <w:pPr>
              <w:pStyle w:val="Compact"/>
              <w:jc w:val="left"/>
            </w:pPr>
            <w:r>
              <w:t xml:space="preserve">Optometrist Continuing Education – 3-day Advanced Contact Lens Fitting Course, Ho Chi Minh City Medical University</w:t>
            </w:r>
          </w:p>
        </w:tc>
        <w:tc>
          <w:tcPr/>
          <w:p>
            <w:pPr>
              <w:pStyle w:val="Compact"/>
              <w:jc w:val="left"/>
            </w:pPr>
            <w:r>
              <w:t xml:space="preserve">4</w:t>
            </w:r>
          </w:p>
        </w:tc>
        <w:tc>
          <w:tcPr/>
          <w:p>
            <w:pPr>
              <w:pStyle w:val="Compact"/>
              <w:jc w:val="left"/>
            </w:pPr>
            <w:r>
              <w:t xml:space="preserve">Seats</w:t>
            </w:r>
          </w:p>
        </w:tc>
        <w:tc>
          <w:tcPr/>
          <w:p>
            <w:pPr>
              <w:pStyle w:val="Compact"/>
              <w:jc w:val="left"/>
            </w:pPr>
            <w:r>
              <w:t xml:space="preserve">12,000,000</w:t>
            </w:r>
          </w:p>
        </w:tc>
        <w:tc>
          <w:tcPr/>
          <w:p>
            <w:pPr>
              <w:pStyle w:val="Compact"/>
              <w:jc w:val="left"/>
            </w:pPr>
            <w:r>
              <w:t xml:space="preserve">48,000,000</w:t>
            </w:r>
          </w:p>
        </w:tc>
      </w:tr>
      <w:tr>
        <w:tc>
          <w:tcPr/>
          <w:p>
            <w:pPr>
              <w:pStyle w:val="Compact"/>
              <w:jc w:val="left"/>
            </w:pPr>
            <w:r>
              <w:t xml:space="preserve">06</w:t>
            </w:r>
          </w:p>
        </w:tc>
        <w:tc>
          <w:tcPr/>
          <w:p>
            <w:pPr>
              <w:pStyle w:val="Compact"/>
              <w:jc w:val="left"/>
            </w:pPr>
            <w:r>
              <w:t xml:space="preserve">Annual Calibration &amp; Maintenance Service for all optometrist diagnostic equipment – 12-month contract</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28,000,000</w:t>
            </w:r>
          </w:p>
        </w:tc>
        <w:tc>
          <w:tcPr/>
          <w:p>
            <w:pPr>
              <w:pStyle w:val="Compact"/>
              <w:jc w:val="left"/>
            </w:pPr>
            <w:r>
              <w:t xml:space="preserve">28,000,000</w:t>
            </w:r>
          </w:p>
        </w:tc>
      </w:tr>
      <w:tr>
        <w:tc>
          <w:tcPr/>
          <w:p>
            <w:pPr>
              <w:pStyle w:val="Compact"/>
              <w:jc w:val="left"/>
            </w:pPr>
            <w:r>
              <w:t xml:space="preserve">07</w:t>
            </w:r>
          </w:p>
        </w:tc>
        <w:tc>
          <w:tcPr/>
          <w:p>
            <w:pPr>
              <w:pStyle w:val="Compact"/>
              <w:jc w:val="left"/>
            </w:pPr>
            <w:r>
              <w:t xml:space="preserve">Phoria &amp; Diplopia Assessment Kit – Complete set for optometrist binocular vision testing</w:t>
            </w:r>
          </w:p>
        </w:tc>
        <w:tc>
          <w:tcPr/>
          <w:p>
            <w:pPr>
              <w:pStyle w:val="Compact"/>
              <w:jc w:val="left"/>
            </w:pPr>
            <w:r>
              <w:t xml:space="preserve">3</w:t>
            </w:r>
          </w:p>
        </w:tc>
        <w:tc>
          <w:tcPr/>
          <w:p>
            <w:pPr>
              <w:pStyle w:val="Compact"/>
              <w:jc w:val="left"/>
            </w:pPr>
            <w:r>
              <w:t xml:space="preserve">Sets</w:t>
            </w:r>
          </w:p>
        </w:tc>
        <w:tc>
          <w:tcPr/>
          <w:p>
            <w:pPr>
              <w:pStyle w:val="Compact"/>
              <w:jc w:val="left"/>
            </w:pPr>
            <w:r>
              <w:t xml:space="preserve">9,500,000</w:t>
            </w:r>
          </w:p>
        </w:tc>
        <w:tc>
          <w:tcPr/>
          <w:p>
            <w:pPr>
              <w:pStyle w:val="Compact"/>
              <w:jc w:val="left"/>
            </w:pPr>
            <w:r>
              <w:t xml:space="preserve">28,500,000</w:t>
            </w:r>
          </w:p>
        </w:tc>
      </w:tr>
      <w:tr>
        <w:tc>
          <w:tcPr/>
          <w:p>
            <w:pPr>
              <w:pStyle w:val="Compact"/>
              <w:jc w:val="left"/>
            </w:pPr>
            <w:r>
              <w:t xml:space="preserve">08</w:t>
            </w:r>
          </w:p>
        </w:tc>
        <w:tc>
          <w:tcPr/>
          <w:p>
            <w:pPr>
              <w:pStyle w:val="Compact"/>
              <w:jc w:val="left"/>
            </w:pPr>
            <w:r>
              <w:t xml:space="preserve">Custom Pediatric Optometrist Examination Chair – Adjustable, child-friendly design for young patients</w:t>
            </w:r>
          </w:p>
        </w:tc>
        <w:tc>
          <w:tcPr/>
          <w:p>
            <w:pPr>
              <w:pStyle w:val="Compact"/>
              <w:jc w:val="left"/>
            </w:pPr>
            <w:r>
              <w:t xml:space="preserve">2</w:t>
            </w:r>
          </w:p>
        </w:tc>
        <w:tc>
          <w:tcPr/>
          <w:p>
            <w:pPr>
              <w:pStyle w:val="Compact"/>
              <w:jc w:val="left"/>
            </w:pPr>
            <w:r>
              <w:t xml:space="preserve">Units</w:t>
            </w:r>
          </w:p>
        </w:tc>
        <w:tc>
          <w:tcPr/>
          <w:p>
            <w:pPr>
              <w:pStyle w:val="Compact"/>
              <w:jc w:val="left"/>
            </w:pPr>
            <w:r>
              <w:t xml:space="preserve">15,000,000</w:t>
            </w:r>
          </w:p>
        </w:tc>
        <w:tc>
          <w:tcPr/>
          <w:p>
            <w:pPr>
              <w:pStyle w:val="Compact"/>
              <w:jc w:val="left"/>
            </w:pPr>
            <w:r>
              <w:t xml:space="preserve">30,000,000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1,067,000,000 VND</w:t>
            </w:r>
          </w:p>
        </w:tc>
      </w:tr>
      <w:tr>
        <w:tc>
          <w:tcPr/>
          <w:p>
            <w:pPr>
              <w:pStyle w:val="Compact"/>
              <w:jc w:val="left"/>
            </w:pPr>
            <w:r>
              <w:t xml:space="preserve">VAT (10% – Vietnam Standard Rate):</w:t>
            </w:r>
          </w:p>
        </w:tc>
        <w:tc>
          <w:tcPr/>
          <w:p>
            <w:pPr>
              <w:pStyle w:val="Compact"/>
              <w:jc w:val="right"/>
            </w:pPr>
            <w:r>
              <w:t xml:space="preserve">106,700,000 VND</w:t>
            </w:r>
          </w:p>
        </w:tc>
      </w:tr>
      <w:tr>
        <w:tc>
          <w:tcPr/>
          <w:p>
            <w:pPr>
              <w:pStyle w:val="Compact"/>
              <w:jc w:val="left"/>
            </w:pPr>
            <w:r>
              <w:t xml:space="preserve">Delivery &amp; Installation (within Ho Chi Minh City):</w:t>
            </w:r>
          </w:p>
        </w:tc>
        <w:tc>
          <w:tcPr/>
          <w:p>
            <w:pPr>
              <w:pStyle w:val="Compact"/>
              <w:jc w:val="right"/>
            </w:pPr>
            <w:r>
              <w:t xml:space="preserve">12,500,000 VND</w:t>
            </w:r>
          </w:p>
        </w:tc>
      </w:tr>
      <w:tr>
        <w:tc>
          <w:tcPr/>
          <w:p>
            <w:pPr>
              <w:pStyle w:val="Compact"/>
              <w:jc w:val="left"/>
            </w:pPr>
            <w:r>
              <w:t xml:space="preserve">GRAND TOTAL:</w:t>
            </w:r>
          </w:p>
        </w:tc>
        <w:tc>
          <w:tcPr/>
          <w:p>
            <w:pPr>
              <w:pStyle w:val="Compact"/>
              <w:jc w:val="right"/>
            </w:pPr>
            <w:r>
              <w:t xml:space="preserve">1,186,200,000 VND</w:t>
            </w:r>
          </w:p>
        </w:tc>
      </w:tr>
    </w:tbl>
    <w:p>
      <w:pPr>
        <w:pStyle w:val="BodyText"/>
      </w:pPr>
      <w:r>
        <w:t xml:space="preserve">TERMS AND CONDITIONS</w:t>
      </w:r>
    </w:p>
    <w:p>
      <w:pPr>
        <w:numPr>
          <w:ilvl w:val="0"/>
          <w:numId w:val="1001"/>
        </w:numPr>
        <w:pStyle w:val="Compact"/>
      </w:pPr>
      <w:r>
        <w:t xml:space="preserve">This Purchase Order is issued by SaiGon Vision Care Group Co., Ltd., a registered entity operating in Ho Chi Minh City, Vietnam, and is directed to the named optometrist supplier for the procurement of optical diagnostic equipment, corrective lenses, frames, and professional training services as itemized above.</w:t>
      </w:r>
    </w:p>
    <w:p>
      <w:pPr>
        <w:numPr>
          <w:ilvl w:val="0"/>
          <w:numId w:val="1001"/>
        </w:numPr>
        <w:pStyle w:val="Compact"/>
      </w:pPr>
      <w:r>
        <w:t xml:space="preserve">All equipment and materials referenced in this Purchase Order must comply with the Ministry of Health of Vietnam standards for optometrist practice and optical device safety regulations effective as of the date of this document.</w:t>
      </w:r>
    </w:p>
    <w:p>
      <w:pPr>
        <w:numPr>
          <w:ilvl w:val="0"/>
          <w:numId w:val="1001"/>
        </w:numPr>
        <w:pStyle w:val="Compact"/>
      </w:pPr>
      <w:r>
        <w:t xml:space="preserve">The optometrist supplier, Dr. Nguyen Van Minh, is responsible for ensuring that all diagnostic instruments (Items 01, 02, 06, 07) are fully calibrated, CE-marked or FDA-equivalent certified, and accompanied by valid Vietnamese import documentation prior to delivery at the designated warehouse in District 7, Ho Chi Minh City.</w:t>
      </w:r>
    </w:p>
    <w:p>
      <w:pPr>
        <w:numPr>
          <w:ilvl w:val="0"/>
          <w:numId w:val="1001"/>
        </w:numPr>
        <w:pStyle w:val="Compact"/>
      </w:pPr>
      <w:r>
        <w:t xml:space="preserve">Delivery of all physical goods under this Purchase Order shall be completed no later than 05 July 2025 at the delivery address specified above. Late delivery beyond five (5) business days will incur a penalty of 0.5% of the affected line item value per day, capped at 10% of the total Purchase Order value.</w:t>
      </w:r>
    </w:p>
    <w:p>
      <w:pPr>
        <w:numPr>
          <w:ilvl w:val="0"/>
          <w:numId w:val="1001"/>
        </w:numPr>
        <w:pStyle w:val="Compact"/>
      </w:pPr>
      <w:r>
        <w:t xml:space="preserve">Payment shall be made via bank transfer to the supplier's registered account in Ho Chi Minh City within thirty (30) calendar days of receipt of a valid VAT invoice (Hóa đơn giá trị gia tăng) conforming to Vietnamese tax authority requirements.</w:t>
      </w:r>
    </w:p>
    <w:p>
      <w:pPr>
        <w:numPr>
          <w:ilvl w:val="0"/>
          <w:numId w:val="1001"/>
        </w:numPr>
        <w:pStyle w:val="Compact"/>
      </w:pPr>
      <w:r>
        <w:t xml:space="preserve">The optometrist continuing education seats (Item 05) must be reserved for the named staff members of SaiGon Vision Care Group and are non-transferable. The training venue shall be located within Ho Chi Minh City limits.</w:t>
      </w:r>
    </w:p>
    <w:p>
      <w:pPr>
        <w:numPr>
          <w:ilvl w:val="0"/>
          <w:numId w:val="1001"/>
        </w:numPr>
        <w:pStyle w:val="Compact"/>
      </w:pPr>
      <w:r>
        <w:t xml:space="preserve">All corrective lenses (Item 03) must be manufactured to the specific prescriptions provided by our in-house optometrist team. The supplier optometrist shall verify each prescription batch before production and confirm fit parameters in writing.</w:t>
      </w:r>
    </w:p>
    <w:p>
      <w:pPr>
        <w:numPr>
          <w:ilvl w:val="0"/>
          <w:numId w:val="1001"/>
        </w:numPr>
        <w:pStyle w:val="Compact"/>
      </w:pPr>
      <w:r>
        <w:t xml:space="preserve">This Purchase Order is governed by the Civil Code of the Socialist Republic of Vietnam and applicable commercial regulations. Any disputes arising from this Purchase Order shall be resolved through the People's Court of District 1, Ho Chi Minh City, or by arbitration at the Vietnam International Arbitration Centre (VIAC) in Ho Chi Minh City.</w:t>
      </w:r>
    </w:p>
    <w:p>
      <w:pPr>
        <w:numPr>
          <w:ilvl w:val="0"/>
          <w:numId w:val="1001"/>
        </w:numPr>
        <w:pStyle w:val="Compact"/>
      </w:pPr>
      <w:r>
        <w:t xml:space="preserve">The supplier warrants that all goods are new, unused, and free from defects. A minimum twelve (12) month warranty applies to all electronic optometrist diagnostic equipment. Warranty claims must be submitted in writing within thirty (30) days of defect discovery.</w:t>
      </w:r>
    </w:p>
    <w:p>
      <w:pPr>
        <w:numPr>
          <w:ilvl w:val="0"/>
          <w:numId w:val="1001"/>
        </w:numPr>
        <w:pStyle w:val="Compact"/>
      </w:pPr>
      <w:r>
        <w:t xml:space="preserve">This Purchase Order becomes effective upon written acceptance by both parties. No modifications to scope, pricing, or delivery schedules shall be valid unless documented in a signed amendment to this Purchase Order.</w:t>
      </w:r>
    </w:p>
    <w:p>
      <w:pPr>
        <w:pStyle w:val="FirstParagraph"/>
      </w:pPr>
      <w:r>
        <w:t xml:space="preserve">ACCEPTANCE AND AUTHORIZATION</w:t>
      </w:r>
    </w:p>
    <w:p>
      <w:pPr>
        <w:pStyle w:val="BodyText"/>
      </w:pPr>
      <w:r>
        <w:rPr>
          <w:bCs/>
          <w:b/>
        </w:rPr>
        <w:t xml:space="preserve">For and on behalf of the Buyer:</w:t>
      </w:r>
    </w:p>
    <w:p>
      <w:pPr>
        <w:pStyle w:val="BodyText"/>
      </w:pPr>
      <w:r>
        <w:t xml:space="preserve">SaiGon Vision Care Group Co., Ltd.</w:t>
      </w:r>
    </w:p>
    <w:p>
      <w:pPr>
        <w:pStyle w:val="BodyText"/>
      </w:pPr>
      <w:r>
        <w:t xml:space="preserve">Mr. Pham Quoc Bao</w:t>
      </w:r>
    </w:p>
    <w:p>
      <w:pPr>
        <w:pStyle w:val="BodyText"/>
      </w:pPr>
      <w:r>
        <w:t xml:space="preserve">Director of Operations</w:t>
      </w:r>
    </w:p>
    <w:p>
      <w:pPr>
        <w:pStyle w:val="BodyText"/>
      </w:pPr>
      <w:r>
        <w:t xml:space="preserve">Date: _______________</w:t>
      </w:r>
    </w:p>
    <w:p>
      <w:pPr>
        <w:pStyle w:val="BodyText"/>
      </w:pPr>
      <w:r>
        <w:rPr>
          <w:bCs/>
          <w:b/>
        </w:rPr>
        <w:t xml:space="preserve">For and on behalf of the Supplier (Optometrist):</w:t>
      </w:r>
    </w:p>
    <w:p>
      <w:pPr>
        <w:pStyle w:val="BodyText"/>
      </w:pPr>
      <w:r>
        <w:t xml:space="preserve">Minh Optical &amp; Vision Center</w:t>
      </w:r>
    </w:p>
    <w:p>
      <w:pPr>
        <w:pStyle w:val="BodyText"/>
      </w:pPr>
      <w:r>
        <w:t xml:space="preserve">Dr. Nguyen Van Minh</w:t>
      </w:r>
    </w:p>
    <w:p>
      <w:pPr>
        <w:pStyle w:val="BodyText"/>
      </w:pPr>
      <w:r>
        <w:t xml:space="preserve">Certified Optometrist / Owner</w:t>
      </w:r>
    </w:p>
    <w:p>
      <w:pPr>
        <w:pStyle w:val="BodyText"/>
      </w:pPr>
      <w:r>
        <w:t xml:space="preserve">Date: _______________</w:t>
      </w:r>
    </w:p>
    <w:p>
      <w:pPr>
        <w:pStyle w:val="BodyText"/>
      </w:pPr>
      <w:r>
        <w:t xml:space="preserve">This Purchase Order (SGC-2025-00472) was prepared and issued in Ho Chi Minh City, Vietnam. All references to the optometrist supplier pertain to a licensed practitioner registered with the Ho Chi Minh City Department of Health. This document is valid for a period of ninety (90) days from the issue date. For inquiries, contact the Procurement Department at procurement@sagaivision.vn or +84 28 3822 4567, Monday through Friday, 08:00–17:00 ICT.</w:t>
      </w:r>
    </w:p>
    <w:p>
      <w:pPr>
        <w:pStyle w:val="BodyText"/>
      </w:pPr>
      <w:r>
        <w:t xml:space="preserve">© 2025 SaiGon Vision Care Group Co., Ltd. – Ho Chi Minh City, Vietnam.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Optometrist Services and Equipment - Ho Chi Minh City, Vietnam</dc:title>
  <dc:creator/>
  <dc:language>en</dc:language>
  <cp:keywords/>
  <dcterms:created xsi:type="dcterms:W3CDTF">2026-10-10T07:07:57Z</dcterms:created>
  <dcterms:modified xsi:type="dcterms:W3CDTF">2026-10-10T07:07:57Z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