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Practice</w:t>
      </w:r>
      <w:r>
        <w:t xml:space="preserve"> </w:t>
      </w:r>
      <w:r>
        <w:t xml:space="preserve">-</w:t>
      </w:r>
      <w:r>
        <w:t xml:space="preserve"> </w:t>
      </w:r>
      <w:r>
        <w:t xml:space="preserve">Argentina</w:t>
      </w:r>
      <w:r>
        <w:t xml:space="preserve"> </w:t>
      </w:r>
      <w:r>
        <w:t xml:space="preserve">Córdoba</w:t>
      </w:r>
    </w:p>
    <w:bookmarkStart w:id="20" w:name="purchase-order"/>
    <w:p>
      <w:pPr>
        <w:pStyle w:val="Heading1"/>
      </w:pPr>
      <w:r>
        <w:t xml:space="preserve">PURCHASE ORDER</w:t>
      </w:r>
    </w:p>
    <w:p>
      <w:pPr>
        <w:pStyle w:val="FirstParagraph"/>
      </w:pPr>
      <w:r>
        <w:t xml:space="preserve">Orthodontic Practice — Córdoba, Argentina</w:t>
      </w:r>
    </w:p>
    <w:p>
      <w:pPr>
        <w:pStyle w:val="BodyText"/>
      </w:pPr>
      <w:r>
        <w:t xml:space="preserve">Official Procurement Document for Orthodontist Clinical Operations</w:t>
      </w:r>
    </w:p>
    <w:bookmarkEnd w:id="20"/>
    <w:p>
      <w:pPr>
        <w:pStyle w:val="BodyText"/>
      </w:pPr>
      <w:r>
        <w:rPr>
          <w:bCs/>
          <w:b/>
        </w:rPr>
        <w:t xml:space="preserve">Purchase Order No.:</w:t>
      </w:r>
      <w:r>
        <w:t xml:space="preserve"> </w:t>
      </w:r>
      <w:r>
        <w:t xml:space="preserve">PO-CDN-2025-0487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t xml:space="preserve">ORTHODONTIST SUPPLY</w:t>
      </w:r>
      <w:r>
        <w:br/>
      </w:r>
      <w:r>
        <w:rPr>
          <w:bCs/>
          <w:b/>
        </w:rPr>
        <w:t xml:space="preserve">Region:</w:t>
      </w:r>
      <w:r>
        <w:t xml:space="preserve"> </w:t>
      </w:r>
      <w:r>
        <w:t xml:space="preserve">Argentina Córdoba</w:t>
      </w:r>
      <w:r>
        <w:br/>
      </w:r>
      <w:r>
        <w:rPr>
          <w:bCs/>
          <w:b/>
        </w:rPr>
        <w:t xml:space="preserve">Currency:</w:t>
      </w:r>
      <w:r>
        <w:t xml:space="preserve"> </w:t>
      </w:r>
      <w:r>
        <w:t xml:space="preserve">Argentine Peso (ARS)</w:t>
      </w:r>
    </w:p>
    <w:bookmarkStart w:id="21" w:name="purchasing-party-orthodontist-practice"/>
    <w:p>
      <w:pPr>
        <w:pStyle w:val="Heading2"/>
      </w:pPr>
      <w:r>
        <w:t xml:space="preserve">1. Purchasing Party (Orthodontist Practice)</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Practice Name:</w:t>
            </w:r>
            <w:r>
              <w:t xml:space="preserve"> </w:t>
            </w:r>
            <w:r>
              <w:t xml:space="preserve">Clínica Ortodóntica del Centro, Córdoba</w:t>
            </w:r>
          </w:p>
        </w:tc>
        <w:tc>
          <w:tcPr/>
          <w:p>
            <w:pPr>
              <w:pStyle w:val="Compact"/>
              <w:jc w:val="left"/>
            </w:pPr>
            <w:r>
              <w:rPr>
                <w:bCs/>
                <w:b/>
              </w:rPr>
              <w:t xml:space="preserve">CUIT:</w:t>
            </w:r>
            <w:r>
              <w:t xml:space="preserve"> </w:t>
            </w:r>
            <w:r>
              <w:t xml:space="preserve">30-71234567-8</w:t>
            </w:r>
          </w:p>
        </w:tc>
      </w:tr>
      <w:tr>
        <w:tc>
          <w:tcPr/>
          <w:p>
            <w:pPr>
              <w:pStyle w:val="Compact"/>
              <w:jc w:val="left"/>
            </w:pPr>
            <w:r>
              <w:rPr>
                <w:bCs/>
                <w:b/>
              </w:rPr>
              <w:t xml:space="preserve">Address:</w:t>
            </w:r>
            <w:r>
              <w:t xml:space="preserve"> </w:t>
            </w:r>
            <w:r>
              <w:t xml:space="preserve">Av. Vélez Sarsfield 1245, Piso 3, C.P. 5000, Córdoba, Argentina</w:t>
            </w:r>
          </w:p>
        </w:tc>
        <w:tc>
          <w:tcPr/>
          <w:p>
            <w:pPr>
              <w:pStyle w:val="Compact"/>
              <w:jc w:val="left"/>
            </w:pPr>
            <w:r>
              <w:rPr>
                <w:bCs/>
                <w:b/>
              </w:rPr>
              <w:t xml:space="preserve">Phone:</w:t>
            </w:r>
            <w:r>
              <w:t xml:space="preserve"> </w:t>
            </w:r>
            <w:r>
              <w:t xml:space="preserve">+54 (351) 422-8890</w:t>
            </w:r>
          </w:p>
        </w:tc>
      </w:tr>
      <w:tr>
        <w:tc>
          <w:tcPr/>
          <w:p>
            <w:pPr>
              <w:pStyle w:val="Compact"/>
              <w:jc w:val="left"/>
            </w:pPr>
            <w:r>
              <w:rPr>
                <w:bCs/>
                <w:b/>
              </w:rPr>
              <w:t xml:space="preserve">Lead Orthodontist:</w:t>
            </w:r>
            <w:r>
              <w:t xml:space="preserve"> </w:t>
            </w:r>
            <w:r>
              <w:t xml:space="preserve">Dra. María Elena Rodríguez, M.D. (Matrícula Profesional N.º 18.442, Colegio de Odontólogos de Córdoba)</w:t>
            </w:r>
          </w:p>
        </w:tc>
        <w:tc>
          <w:tcPr/>
          <w:p>
            <w:pPr>
              <w:pStyle w:val="Compact"/>
              <w:jc w:val="left"/>
            </w:pPr>
            <w:r>
              <w:rPr>
                <w:bCs/>
                <w:b/>
              </w:rPr>
              <w:t xml:space="preserve">Email:</w:t>
            </w:r>
            <w:r>
              <w:t xml:space="preserve"> </w:t>
            </w:r>
            <w:r>
              <w:t xml:space="preserve">compras@ortocordoba.com.ar</w:t>
            </w:r>
          </w:p>
        </w:tc>
      </w:tr>
    </w:tbl>
    <w:bookmarkEnd w:id="21"/>
    <w:bookmarkStart w:id="22" w:name="supplier-vendor"/>
    <w:p>
      <w:pPr>
        <w:pStyle w:val="Heading2"/>
      </w:pPr>
      <w:r>
        <w:t xml:space="preserve">2. Supplier / Vendor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r>
              <w:t xml:space="preserve"> </w:t>
            </w:r>
            <w:r>
              <w:t xml:space="preserve">Distribuidora Odontológica Andina S.A.</w:t>
            </w:r>
          </w:p>
        </w:tc>
        <w:tc>
          <w:tcPr/>
          <w:p>
            <w:pPr>
              <w:pStyle w:val="Compact"/>
              <w:jc w:val="left"/>
            </w:pPr>
            <w:r>
              <w:rPr>
                <w:bCs/>
                <w:b/>
              </w:rPr>
              <w:t xml:space="preserve">CUIT:</w:t>
            </w:r>
            <w:r>
              <w:t xml:space="preserve"> </w:t>
            </w:r>
            <w:r>
              <w:t xml:space="preserve">30-69876543-1</w:t>
            </w:r>
          </w:p>
        </w:tc>
      </w:tr>
      <w:tr>
        <w:tc>
          <w:tcPr/>
          <w:p>
            <w:pPr>
              <w:pStyle w:val="Compact"/>
              <w:jc w:val="left"/>
            </w:pPr>
            <w:r>
              <w:rPr>
                <w:bCs/>
                <w:b/>
              </w:rPr>
              <w:t xml:space="preserve">Address:</w:t>
            </w:r>
            <w:r>
              <w:t xml:space="preserve"> </w:t>
            </w:r>
            <w:r>
              <w:t xml:space="preserve">Bv. San Juan 890, C.P. 5000, Córdoba, Argentina</w:t>
            </w:r>
          </w:p>
        </w:tc>
        <w:tc>
          <w:tcPr/>
          <w:p>
            <w:pPr>
              <w:pStyle w:val="Compact"/>
              <w:jc w:val="left"/>
            </w:pPr>
            <w:r>
              <w:rPr>
                <w:bCs/>
                <w:b/>
              </w:rPr>
              <w:t xml:space="preserve">Phone:</w:t>
            </w:r>
            <w:r>
              <w:t xml:space="preserve"> </w:t>
            </w:r>
            <w:r>
              <w:t xml:space="preserve">+54 (351) 487-3321</w:t>
            </w:r>
          </w:p>
        </w:tc>
      </w:tr>
      <w:tr>
        <w:tc>
          <w:tcPr/>
          <w:p>
            <w:pPr>
              <w:pStyle w:val="Compact"/>
              <w:jc w:val="left"/>
            </w:pPr>
            <w:r>
              <w:rPr>
                <w:bCs/>
                <w:b/>
              </w:rPr>
              <w:t xml:space="preserve">Contact Person:</w:t>
            </w:r>
            <w:r>
              <w:t xml:space="preserve"> </w:t>
            </w:r>
            <w:r>
              <w:t xml:space="preserve">Ing. Carlos Méndez, Commercial Manager</w:t>
            </w:r>
          </w:p>
        </w:tc>
        <w:tc>
          <w:tcPr/>
          <w:p>
            <w:pPr>
              <w:pStyle w:val="Compact"/>
              <w:jc w:val="left"/>
            </w:pPr>
            <w:r>
              <w:rPr>
                <w:bCs/>
                <w:b/>
              </w:rPr>
              <w:t xml:space="preserve">Email:</w:t>
            </w:r>
            <w:r>
              <w:t xml:space="preserve"> </w:t>
            </w:r>
            <w:r>
              <w:t xml:space="preserve">ventas@odontandina.com.ar</w:t>
            </w:r>
          </w:p>
        </w:tc>
      </w:tr>
    </w:tbl>
    <w:bookmarkEnd w:id="22"/>
    <w:bookmarkStart w:id="23" w:name="X36bbacbcff35ce0673d52ed0cd96a329aa792d5"/>
    <w:p>
      <w:pPr>
        <w:pStyle w:val="Heading2"/>
      </w:pPr>
      <w:r>
        <w:t xml:space="preserve">3. Line Items — Orthodontic Equipment and Consumables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01</w:t>
            </w:r>
          </w:p>
        </w:tc>
        <w:tc>
          <w:tcPr/>
          <w:p>
            <w:pPr>
              <w:pStyle w:val="Compact"/>
              <w:jc w:val="left"/>
            </w:pPr>
            <w:r>
              <w:t xml:space="preserve">Self-ligating orthodontic brackets, 0.022" slot, stainless steel (per patient set, 28 pcs)</w:t>
            </w:r>
          </w:p>
        </w:tc>
        <w:tc>
          <w:tcPr/>
          <w:p>
            <w:pPr>
              <w:pStyle w:val="Compact"/>
              <w:jc w:val="left"/>
            </w:pPr>
            <w:r>
              <w:t xml:space="preserve">40</w:t>
            </w:r>
          </w:p>
        </w:tc>
        <w:tc>
          <w:tcPr/>
          <w:p>
            <w:pPr>
              <w:pStyle w:val="Compact"/>
              <w:jc w:val="left"/>
            </w:pPr>
            <w:r>
              <w:t xml:space="preserve">sets</w:t>
            </w:r>
          </w:p>
        </w:tc>
        <w:tc>
          <w:tcPr/>
          <w:p>
            <w:pPr>
              <w:pStyle w:val="Compact"/>
              <w:jc w:val="left"/>
            </w:pPr>
            <w:r>
              <w:t xml:space="preserve">185,000.00</w:t>
            </w:r>
          </w:p>
        </w:tc>
        <w:tc>
          <w:tcPr/>
          <w:p>
            <w:pPr>
              <w:pStyle w:val="Compact"/>
              <w:jc w:val="left"/>
            </w:pPr>
            <w:r>
              <w:t xml:space="preserve">7,400,000.00</w:t>
            </w:r>
          </w:p>
        </w:tc>
      </w:tr>
      <w:tr>
        <w:tc>
          <w:tcPr/>
          <w:p>
            <w:pPr>
              <w:pStyle w:val="Compact"/>
              <w:jc w:val="left"/>
            </w:pPr>
            <w:r>
              <w:t xml:space="preserve">02</w:t>
            </w:r>
          </w:p>
        </w:tc>
        <w:tc>
          <w:tcPr/>
          <w:p>
            <w:pPr>
              <w:pStyle w:val="Compact"/>
              <w:jc w:val="left"/>
            </w:pPr>
            <w:r>
              <w:t xml:space="preserve">NiTi archwires, 0.014" to 0.022" rectangular, 18" length (assorted pack)</w:t>
            </w:r>
          </w:p>
        </w:tc>
        <w:tc>
          <w:tcPr/>
          <w:p>
            <w:pPr>
              <w:pStyle w:val="Compact"/>
              <w:jc w:val="left"/>
            </w:pPr>
            <w:r>
              <w:t xml:space="preserve">60</w:t>
            </w:r>
          </w:p>
        </w:tc>
        <w:tc>
          <w:tcPr/>
          <w:p>
            <w:pPr>
              <w:pStyle w:val="Compact"/>
              <w:jc w:val="left"/>
            </w:pPr>
            <w:r>
              <w:t xml:space="preserve">packs</w:t>
            </w:r>
          </w:p>
        </w:tc>
        <w:tc>
          <w:tcPr/>
          <w:p>
            <w:pPr>
              <w:pStyle w:val="Compact"/>
              <w:jc w:val="left"/>
            </w:pPr>
            <w:r>
              <w:t xml:space="preserve">42,500.00</w:t>
            </w:r>
          </w:p>
        </w:tc>
        <w:tc>
          <w:tcPr/>
          <w:p>
            <w:pPr>
              <w:pStyle w:val="Compact"/>
              <w:jc w:val="left"/>
            </w:pPr>
            <w:r>
              <w:t xml:space="preserve">2,550,000.00</w:t>
            </w:r>
          </w:p>
        </w:tc>
      </w:tr>
      <w:tr>
        <w:tc>
          <w:tcPr/>
          <w:p>
            <w:pPr>
              <w:pStyle w:val="Compact"/>
              <w:jc w:val="left"/>
            </w:pPr>
            <w:r>
              <w:t xml:space="preserve">03</w:t>
            </w:r>
          </w:p>
        </w:tc>
        <w:tc>
          <w:tcPr/>
          <w:p>
            <w:pPr>
              <w:pStyle w:val="Compact"/>
              <w:jc w:val="left"/>
            </w:pPr>
            <w:r>
              <w:t xml:space="preserve">Elastomeric ligatures, clear, 1000 pcs per box</w:t>
            </w:r>
          </w:p>
        </w:tc>
        <w:tc>
          <w:tcPr/>
          <w:p>
            <w:pPr>
              <w:pStyle w:val="Compact"/>
              <w:jc w:val="left"/>
            </w:pPr>
            <w:r>
              <w:t xml:space="preserve">25</w:t>
            </w:r>
          </w:p>
        </w:tc>
        <w:tc>
          <w:tcPr/>
          <w:p>
            <w:pPr>
              <w:pStyle w:val="Compact"/>
              <w:jc w:val="left"/>
            </w:pPr>
            <w:r>
              <w:t xml:space="preserve">boxes</w:t>
            </w:r>
          </w:p>
        </w:tc>
        <w:tc>
          <w:tcPr/>
          <w:p>
            <w:pPr>
              <w:pStyle w:val="Compact"/>
              <w:jc w:val="left"/>
            </w:pPr>
            <w:r>
              <w:t xml:space="preserve">18,200.00</w:t>
            </w:r>
          </w:p>
        </w:tc>
        <w:tc>
          <w:tcPr/>
          <w:p>
            <w:pPr>
              <w:pStyle w:val="Compact"/>
              <w:jc w:val="left"/>
            </w:pPr>
            <w:r>
              <w:t xml:space="preserve">455,000.00</w:t>
            </w:r>
          </w:p>
        </w:tc>
      </w:tr>
      <w:tr>
        <w:tc>
          <w:tcPr/>
          <w:p>
            <w:pPr>
              <w:pStyle w:val="Compact"/>
              <w:jc w:val="left"/>
            </w:pPr>
            <w:r>
              <w:t xml:space="preserve">04</w:t>
            </w:r>
          </w:p>
        </w:tc>
        <w:tc>
          <w:tcPr/>
          <w:p>
            <w:pPr>
              <w:pStyle w:val="Compact"/>
              <w:jc w:val="left"/>
            </w:pPr>
            <w:r>
              <w:t xml:space="preserve">Orthodontic bonding kit (primer, adhesive, light-curing unit compatible)</w:t>
            </w:r>
          </w:p>
        </w:tc>
        <w:tc>
          <w:tcPr/>
          <w:p>
            <w:pPr>
              <w:pStyle w:val="Compact"/>
              <w:jc w:val="left"/>
            </w:pPr>
            <w:r>
              <w:t xml:space="preserve">15</w:t>
            </w:r>
          </w:p>
        </w:tc>
        <w:tc>
          <w:tcPr/>
          <w:p>
            <w:pPr>
              <w:pStyle w:val="Compact"/>
              <w:jc w:val="left"/>
            </w:pPr>
            <w:r>
              <w:t xml:space="preserve">kits</w:t>
            </w:r>
          </w:p>
        </w:tc>
        <w:tc>
          <w:tcPr/>
          <w:p>
            <w:pPr>
              <w:pStyle w:val="Compact"/>
              <w:jc w:val="left"/>
            </w:pPr>
            <w:r>
              <w:t xml:space="preserve">96,000.00</w:t>
            </w:r>
          </w:p>
        </w:tc>
        <w:tc>
          <w:tcPr/>
          <w:p>
            <w:pPr>
              <w:pStyle w:val="Compact"/>
              <w:jc w:val="left"/>
            </w:pPr>
            <w:r>
              <w:t xml:space="preserve">1,440,000.00</w:t>
            </w:r>
          </w:p>
        </w:tc>
      </w:tr>
      <w:tr>
        <w:tc>
          <w:tcPr/>
          <w:p>
            <w:pPr>
              <w:pStyle w:val="Compact"/>
              <w:jc w:val="left"/>
            </w:pPr>
            <w:r>
              <w:t xml:space="preserve">05</w:t>
            </w:r>
          </w:p>
        </w:tc>
        <w:tc>
          <w:tcPr/>
          <w:p>
            <w:pPr>
              <w:pStyle w:val="Compact"/>
              <w:jc w:val="left"/>
            </w:pPr>
            <w:r>
              <w:t xml:space="preserve">Ceramic molar bands, size 3, with ligature slots</w:t>
            </w:r>
          </w:p>
        </w:tc>
        <w:tc>
          <w:tcPr/>
          <w:p>
            <w:pPr>
              <w:pStyle w:val="Compact"/>
              <w:jc w:val="left"/>
            </w:pPr>
            <w:r>
              <w:t xml:space="preserve">120</w:t>
            </w:r>
          </w:p>
        </w:tc>
        <w:tc>
          <w:tcPr/>
          <w:p>
            <w:pPr>
              <w:pStyle w:val="Compact"/>
              <w:jc w:val="left"/>
            </w:pPr>
            <w:r>
              <w:t xml:space="preserve">units</w:t>
            </w:r>
          </w:p>
        </w:tc>
        <w:tc>
          <w:tcPr/>
          <w:p>
            <w:pPr>
              <w:pStyle w:val="Compact"/>
              <w:jc w:val="left"/>
            </w:pPr>
            <w:r>
              <w:t xml:space="preserve">8,750.00</w:t>
            </w:r>
          </w:p>
        </w:tc>
        <w:tc>
          <w:tcPr/>
          <w:p>
            <w:pPr>
              <w:pStyle w:val="Compact"/>
              <w:jc w:val="left"/>
            </w:pPr>
            <w:r>
              <w:t xml:space="preserve">1,050,000.00</w:t>
            </w:r>
          </w:p>
        </w:tc>
      </w:tr>
      <w:tr>
        <w:tc>
          <w:tcPr/>
          <w:p>
            <w:pPr>
              <w:pStyle w:val="Compact"/>
              <w:jc w:val="left"/>
            </w:pPr>
            <w:r>
              <w:t xml:space="preserve">06</w:t>
            </w:r>
          </w:p>
        </w:tc>
        <w:tc>
          <w:tcPr/>
          <w:p>
            <w:pPr>
              <w:pStyle w:val="Compact"/>
              <w:jc w:val="left"/>
            </w:pPr>
            <w:r>
              <w:t xml:space="preserve">Interproximal reduction (IPR) strips, 0.010" to 0.020" (assorted, 500 pcs)</w:t>
            </w:r>
          </w:p>
        </w:tc>
        <w:tc>
          <w:tcPr/>
          <w:p>
            <w:pPr>
              <w:pStyle w:val="Compact"/>
              <w:jc w:val="left"/>
            </w:pPr>
            <w:r>
              <w:t xml:space="preserve">10</w:t>
            </w:r>
          </w:p>
        </w:tc>
        <w:tc>
          <w:tcPr/>
          <w:p>
            <w:pPr>
              <w:pStyle w:val="Compact"/>
              <w:jc w:val="left"/>
            </w:pPr>
            <w:r>
              <w:t xml:space="preserve">boxes</w:t>
            </w:r>
          </w:p>
        </w:tc>
        <w:tc>
          <w:tcPr/>
          <w:p>
            <w:pPr>
              <w:pStyle w:val="Compact"/>
              <w:jc w:val="left"/>
            </w:pPr>
            <w:r>
              <w:t xml:space="preserve">34,800.00</w:t>
            </w:r>
          </w:p>
        </w:tc>
        <w:tc>
          <w:tcPr/>
          <w:p>
            <w:pPr>
              <w:pStyle w:val="Compact"/>
              <w:jc w:val="left"/>
            </w:pPr>
            <w:r>
              <w:t xml:space="preserve">348,000.00</w:t>
            </w:r>
          </w:p>
        </w:tc>
      </w:tr>
      <w:tr>
        <w:tc>
          <w:tcPr/>
          <w:p>
            <w:pPr>
              <w:pStyle w:val="Compact"/>
              <w:jc w:val="left"/>
            </w:pPr>
            <w:r>
              <w:t xml:space="preserve">07</w:t>
            </w:r>
          </w:p>
        </w:tc>
        <w:tc>
          <w:tcPr/>
          <w:p>
            <w:pPr>
              <w:pStyle w:val="Compact"/>
              <w:jc w:val="left"/>
            </w:pPr>
            <w:r>
              <w:t xml:space="preserve">Orthodontic pliers set (distal end cutters, ligature cutters, pliers for brackets, 8-piece)</w:t>
            </w:r>
          </w:p>
        </w:tc>
        <w:tc>
          <w:tcPr/>
          <w:p>
            <w:pPr>
              <w:pStyle w:val="Compact"/>
              <w:jc w:val="left"/>
            </w:pPr>
            <w:r>
              <w:t xml:space="preserve">4</w:t>
            </w:r>
          </w:p>
        </w:tc>
        <w:tc>
          <w:tcPr/>
          <w:p>
            <w:pPr>
              <w:pStyle w:val="Compact"/>
              <w:jc w:val="left"/>
            </w:pPr>
            <w:r>
              <w:t xml:space="preserve">sets</w:t>
            </w:r>
          </w:p>
        </w:tc>
        <w:tc>
          <w:tcPr/>
          <w:p>
            <w:pPr>
              <w:pStyle w:val="Compact"/>
              <w:jc w:val="left"/>
            </w:pPr>
            <w:r>
              <w:t xml:space="preserve">210,000.00</w:t>
            </w:r>
          </w:p>
        </w:tc>
        <w:tc>
          <w:tcPr/>
          <w:p>
            <w:pPr>
              <w:pStyle w:val="Compact"/>
              <w:jc w:val="left"/>
            </w:pPr>
            <w:r>
              <w:t xml:space="preserve">840,000.00</w:t>
            </w:r>
          </w:p>
        </w:tc>
      </w:tr>
      <w:tr>
        <w:tc>
          <w:tcPr/>
          <w:p>
            <w:pPr>
              <w:pStyle w:val="Compact"/>
              <w:jc w:val="left"/>
            </w:pPr>
            <w:r>
              <w:t xml:space="preserve">08</w:t>
            </w:r>
          </w:p>
        </w:tc>
        <w:tc>
          <w:tcPr/>
          <w:p>
            <w:pPr>
              <w:pStyle w:val="Compact"/>
              <w:jc w:val="left"/>
            </w:pPr>
            <w:r>
              <w:t xml:space="preserve">Clear aligner thermoplastic sheets, 0.75 mm, 12" x 12" (per patient, 20 sheets)</w:t>
            </w:r>
          </w:p>
        </w:tc>
        <w:tc>
          <w:tcPr/>
          <w:p>
            <w:pPr>
              <w:pStyle w:val="Compact"/>
              <w:jc w:val="left"/>
            </w:pPr>
            <w:r>
              <w:t xml:space="preserve">30</w:t>
            </w:r>
          </w:p>
        </w:tc>
        <w:tc>
          <w:tcPr/>
          <w:p>
            <w:pPr>
              <w:pStyle w:val="Compact"/>
              <w:jc w:val="left"/>
            </w:pPr>
            <w:r>
              <w:t xml:space="preserve">packs</w:t>
            </w:r>
          </w:p>
        </w:tc>
        <w:tc>
          <w:tcPr/>
          <w:p>
            <w:pPr>
              <w:pStyle w:val="Compact"/>
              <w:jc w:val="left"/>
            </w:pPr>
            <w:r>
              <w:t xml:space="preserve">155,000.00</w:t>
            </w:r>
          </w:p>
        </w:tc>
        <w:tc>
          <w:tcPr/>
          <w:p>
            <w:pPr>
              <w:pStyle w:val="Compact"/>
              <w:jc w:val="left"/>
            </w:pPr>
            <w:r>
              <w:t xml:space="preserve">4,650,000.00</w:t>
            </w:r>
          </w:p>
        </w:tc>
      </w:tr>
      <w:tr>
        <w:tc>
          <w:tcPr/>
          <w:p>
            <w:pPr>
              <w:pStyle w:val="Compact"/>
              <w:jc w:val="left"/>
            </w:pPr>
            <w:r>
              <w:t xml:space="preserve">09</w:t>
            </w:r>
          </w:p>
        </w:tc>
        <w:tc>
          <w:tcPr/>
          <w:p>
            <w:pPr>
              <w:pStyle w:val="Compact"/>
              <w:jc w:val="left"/>
            </w:pPr>
            <w:r>
              <w:t xml:space="preserve">Orthodontic wax, 10 g tubes (for patient comfort during treatment)</w:t>
            </w:r>
          </w:p>
        </w:tc>
        <w:tc>
          <w:tcPr/>
          <w:p>
            <w:pPr>
              <w:pStyle w:val="Compact"/>
              <w:jc w:val="left"/>
            </w:pPr>
            <w:r>
              <w:t xml:space="preserve">200</w:t>
            </w:r>
          </w:p>
        </w:tc>
        <w:tc>
          <w:tcPr/>
          <w:p>
            <w:pPr>
              <w:pStyle w:val="Compact"/>
              <w:jc w:val="left"/>
            </w:pPr>
            <w:r>
              <w:t xml:space="preserve">tubes</w:t>
            </w:r>
          </w:p>
        </w:tc>
        <w:tc>
          <w:tcPr/>
          <w:p>
            <w:pPr>
              <w:pStyle w:val="Compact"/>
              <w:jc w:val="left"/>
            </w:pPr>
            <w:r>
              <w:t xml:space="preserve">1,200.00</w:t>
            </w:r>
          </w:p>
        </w:tc>
        <w:tc>
          <w:tcPr/>
          <w:p>
            <w:pPr>
              <w:pStyle w:val="Compact"/>
              <w:jc w:val="left"/>
            </w:pPr>
            <w:r>
              <w:t xml:space="preserve">240,000.00</w:t>
            </w:r>
          </w:p>
        </w:tc>
      </w:tr>
      <w:tr>
        <w:tc>
          <w:tcPr/>
          <w:p>
            <w:pPr>
              <w:pStyle w:val="Compact"/>
              <w:jc w:val="left"/>
            </w:pPr>
            <w:r>
              <w:t xml:space="preserve">10</w:t>
            </w:r>
          </w:p>
        </w:tc>
        <w:tc>
          <w:tcPr/>
          <w:p>
            <w:pPr>
              <w:pStyle w:val="Compact"/>
              <w:jc w:val="left"/>
            </w:pPr>
            <w:r>
              <w:t xml:space="preserve">Digital intraoral scanner tips, disposable, compatible with 3Shape TRIOS 5</w:t>
            </w:r>
          </w:p>
        </w:tc>
        <w:tc>
          <w:tcPr/>
          <w:p>
            <w:pPr>
              <w:pStyle w:val="Compact"/>
              <w:jc w:val="left"/>
            </w:pPr>
            <w:r>
              <w:t xml:space="preserve">50</w:t>
            </w:r>
          </w:p>
        </w:tc>
        <w:tc>
          <w:tcPr/>
          <w:p>
            <w:pPr>
              <w:pStyle w:val="Compact"/>
              <w:jc w:val="left"/>
            </w:pPr>
            <w:r>
              <w:t xml:space="preserve">units</w:t>
            </w:r>
          </w:p>
        </w:tc>
        <w:tc>
          <w:tcPr/>
          <w:p>
            <w:pPr>
              <w:pStyle w:val="Compact"/>
              <w:jc w:val="left"/>
            </w:pPr>
            <w:r>
              <w:t xml:space="preserve">28,500.00</w:t>
            </w:r>
          </w:p>
        </w:tc>
        <w:tc>
          <w:tcPr/>
          <w:p>
            <w:pPr>
              <w:pStyle w:val="Compact"/>
              <w:jc w:val="left"/>
            </w:pPr>
            <w:r>
              <w:t xml:space="preserve">1,425,000.00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ARS 20,398,000.00</w:t>
            </w:r>
          </w:p>
        </w:tc>
      </w:tr>
      <w:tr>
        <w:tc>
          <w:tcPr/>
          <w:p>
            <w:pPr>
              <w:pStyle w:val="Compact"/>
              <w:jc w:val="left"/>
            </w:pPr>
            <w:r>
              <w:t xml:space="preserve">IVA (21% — Argentine Value Added Tax):</w:t>
            </w:r>
          </w:p>
        </w:tc>
        <w:tc>
          <w:tcPr/>
          <w:p>
            <w:pPr>
              <w:pStyle w:val="Compact"/>
              <w:jc w:val="left"/>
            </w:pPr>
            <w:r>
              <w:t xml:space="preserve">ARS 4,283,580.00</w:t>
            </w:r>
          </w:p>
        </w:tc>
      </w:tr>
      <w:tr>
        <w:tc>
          <w:tcPr/>
          <w:p>
            <w:pPr>
              <w:pStyle w:val="Compact"/>
              <w:jc w:val="left"/>
            </w:pPr>
            <w:r>
              <w:t xml:space="preserve">Shipping &amp; Handling (Córdoba metropolitan area):</w:t>
            </w:r>
          </w:p>
        </w:tc>
        <w:tc>
          <w:tcPr/>
          <w:p>
            <w:pPr>
              <w:pStyle w:val="Compact"/>
              <w:jc w:val="left"/>
            </w:pPr>
            <w:r>
              <w:t xml:space="preserve">ARS 185,000.00</w:t>
            </w:r>
          </w:p>
        </w:tc>
      </w:tr>
      <w:tr>
        <w:tc>
          <w:tcPr/>
          <w:p>
            <w:pPr>
              <w:pStyle w:val="Compact"/>
              <w:jc w:val="left"/>
            </w:pPr>
            <w:r>
              <w:t xml:space="preserve">TOTAL AMOUNT DUE:</w:t>
            </w:r>
          </w:p>
        </w:tc>
        <w:tc>
          <w:tcPr/>
          <w:p>
            <w:pPr>
              <w:pStyle w:val="Compact"/>
              <w:jc w:val="left"/>
            </w:pPr>
            <w:r>
              <w:t xml:space="preserve">ARS 24,866,580.00</w:t>
            </w:r>
          </w:p>
        </w:tc>
      </w:tr>
    </w:tbl>
    <w:bookmarkEnd w:id="23"/>
    <w:bookmarkStart w:id="24" w:name="delivery-and-logistics"/>
    <w:p>
      <w:pPr>
        <w:pStyle w:val="Heading2"/>
      </w:pPr>
      <w:r>
        <w:t xml:space="preserve">4. Delivery and Logistics</w:t>
      </w:r>
    </w:p>
    <w:p>
      <w:pPr>
        <w:pStyle w:val="FirstParagraph"/>
      </w:pPr>
      <w:r>
        <w:t xml:space="preserve">All items listed in this Purchase Order shall be delivered to the orthodontist practice premises located at Av. Vélez Sarsfield 1245, Piso 3, Córdoba, Argentina, within fifteen (15) business days from the date of acceptance of this document. The supplier is responsible for all packaging, insurance, and transportation costs within the Córdoba province. Delivery must be made between 09:00 and 17:00 hours, Monday through Friday. The orthodontist practice will assign a designated receiving officer (Sra. Lucía Fernández, Office Manager) to inspect and sign the delivery manifest upon arrival. Any items found damaged, expired, or non-conforming to the specifications stated in this Purchase Order must be reported within forty-eight (48) hours of receipt, and the supplier shall replace them at no additional cost.</w:t>
      </w:r>
    </w:p>
    <w:bookmarkEnd w:id="24"/>
    <w:bookmarkStart w:id="25" w:name="payment-terms"/>
    <w:p>
      <w:pPr>
        <w:pStyle w:val="Heading2"/>
      </w:pPr>
      <w:r>
        <w:t xml:space="preserve">5. Payment Terms</w:t>
      </w:r>
    </w:p>
    <w:p>
      <w:pPr>
        <w:pStyle w:val="FirstParagraph"/>
      </w:pPr>
      <w:r>
        <w:t xml:space="preserve">Payment for this Purchase Order shall be made in Argentine Pesos (ARS) via bank transfer (transferencia bancaria) to the supplier's designated account. The total amount of ARS 24,866,580.00 is due within thirty (30) calendar days from the date of confirmed delivery and acceptance of all goods. A 2% early-payment discount shall apply if the orthodontist practice settles the full invoice within ten (10) business days of delivery confirmation. Late payments shall accrue interest at the rate established by the Banco de la Nación Argentina for commercial operations, applied on a daily basis. All payments are subject to the applicable Argentine tax regulations, including the withholding of IVA and Ganancias as mandated by the Administración Federal de Ingresos Públicos (AFIP).</w:t>
      </w:r>
    </w:p>
    <w:bookmarkEnd w:id="25"/>
    <w:bookmarkStart w:id="26" w:name="terms-and-conditions"/>
    <w:p>
      <w:pPr>
        <w:pStyle w:val="Heading2"/>
      </w:pPr>
      <w:r>
        <w:t xml:space="preserve">6. Terms and Conditions</w:t>
      </w:r>
    </w:p>
    <w:p>
      <w:pPr>
        <w:pStyle w:val="FirstParagraph"/>
      </w:pPr>
      <w:r>
        <w:t xml:space="preserve">This Purchase Order constitutes a binding agreement between the orthodontist practice (Clínica Ortodóntica del Centro, Córdoba) and the supplier (Distribuidora Odontológica Andina S.A.) for the procurement of orthodontic materials and equipment. All products must comply with the regulations established by the Administración Nacional de Medicamentos, Alimentos y Tecnología Médica (ANMAT) and must carry valid registration numbers for use in clinical orthodontic procedures in Argentina. The supplier warrants that all orthodontic brackets, wires, bands, and consumables are new, unused, and within their stated shelf life. This Purchase Order is governed by the Civil and Commercial Code of the Argentine Nation and the applicable commercial regulations of the Province of Córdoba. Any disputes arising from this document shall be resolved in the competent courts of the city of Córdoba, Argentina. The orthodontist practice reserves the right to modify quantities by up to ten percent (10%) without reissuing a new Purchase Order, provided the modification is communicated in writing within five (5) business days of the original issue date.</w:t>
      </w:r>
    </w:p>
    <w:bookmarkEnd w:id="26"/>
    <w:bookmarkStart w:id="27" w:name="authorizations-and-signatures"/>
    <w:p>
      <w:pPr>
        <w:pStyle w:val="Heading2"/>
      </w:pPr>
      <w:r>
        <w:t xml:space="preserve">7. Authorizations and Signatures</w:t>
      </w:r>
    </w:p>
    <w:p>
      <w:pPr>
        <w:pStyle w:val="FirstParagraph"/>
      </w:pPr>
      <w:r>
        <w:rPr>
          <w:bCs/>
          <w:b/>
        </w:rPr>
        <w:t xml:space="preserve">Prepared by (Orthodontist Practice):</w:t>
      </w:r>
    </w:p>
    <w:p>
      <w:pPr>
        <w:pStyle w:val="BodyText"/>
      </w:pPr>
      <w:r>
        <w:t xml:space="preserve">Dra. María Elena Rodríguez</w:t>
      </w:r>
      <w:r>
        <w:br/>
      </w:r>
      <w:r>
        <w:t xml:space="preserve">Lead Orthodontist &amp; Practice Director</w:t>
      </w:r>
      <w:r>
        <w:br/>
      </w:r>
      <w:r>
        <w:t xml:space="preserve">Matrícula N.º 18.442 — Córdoba, Argentina</w:t>
      </w:r>
      <w:r>
        <w:br/>
      </w:r>
      <w:r>
        <w:t xml:space="preserve">Date: _______________</w:t>
      </w:r>
    </w:p>
    <w:p>
      <w:pPr>
        <w:pStyle w:val="BodyText"/>
      </w:pPr>
      <w:r>
        <w:rPr>
          <w:bCs/>
          <w:b/>
        </w:rPr>
        <w:t xml:space="preserve">Accepted by (Supplier):</w:t>
      </w:r>
    </w:p>
    <w:p>
      <w:pPr>
        <w:pStyle w:val="BodyText"/>
      </w:pPr>
      <w:r>
        <w:t xml:space="preserve">Ing. Carlos Méndez</w:t>
      </w:r>
      <w:r>
        <w:br/>
      </w:r>
      <w:r>
        <w:t xml:space="preserve">Commercial Manager</w:t>
      </w:r>
      <w:r>
        <w:br/>
      </w:r>
      <w:r>
        <w:t xml:space="preserve">Distribuidora Odontológica Andina S.A.</w:t>
      </w:r>
      <w:r>
        <w:br/>
      </w:r>
      <w:r>
        <w:t xml:space="preserve">Date: _______________</w:t>
      </w:r>
    </w:p>
    <w:bookmarkEnd w:id="27"/>
    <w:p>
      <w:pPr>
        <w:pStyle w:val="BodyText"/>
      </w:pPr>
      <w:r>
        <w:t xml:space="preserve">Purchase Order PO-CDN-2025-0487 — Issued for the orthodontist practice operating in Argentina Córdoba.</w:t>
      </w:r>
      <w:r>
        <w:br/>
      </w:r>
      <w:r>
        <w:t xml:space="preserve">This document is valid only when signed and stamped by both parties. Unauthorised reproduction is prohibited.</w:t>
      </w:r>
      <w:r>
        <w:br/>
      </w:r>
      <w:r>
        <w:t xml:space="preserve">Clínica Ortodóntica del Centro, Córdoba — CUIT 30-71234567-8 — Av. Vélez Sarsfield 1245, C.P. 5000, Córdoba,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Practice - Argentina Córdoba</dc:title>
  <dc:creator/>
  <dc:language>en</dc:language>
  <cp:keywords/>
  <dcterms:created xsi:type="dcterms:W3CDTF">2026-10-10T02:33:06Z</dcterms:created>
  <dcterms:modified xsi:type="dcterms:W3CDTF">2026-10-10T02:33:06Z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