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Belgium</w:t>
      </w:r>
      <w:r>
        <w:t xml:space="preserve"> </w:t>
      </w:r>
      <w:r>
        <w:t xml:space="preserve">Brussels</w:t>
      </w:r>
    </w:p>
    <w:bookmarkStart w:id="20" w:name="purchase-order"/>
    <w:p>
      <w:pPr>
        <w:pStyle w:val="Heading2"/>
      </w:pPr>
      <w:r>
        <w:t xml:space="preserve">PURCHASE ORDER</w:t>
      </w:r>
    </w:p>
    <w:p>
      <w:pPr>
        <w:pStyle w:val="FirstParagraph"/>
      </w:pPr>
      <w:r>
        <w:rPr>
          <w:bCs/>
          <w:b/>
        </w:rPr>
        <w:t xml:space="preserve">PO No.:</w:t>
      </w:r>
      <w:r>
        <w:t xml:space="preserve"> </w:t>
      </w:r>
      <w:r>
        <w:t xml:space="preserve">BB-ORT-2025-04782</w:t>
      </w:r>
    </w:p>
    <w:p>
      <w:pPr>
        <w:pStyle w:val="BodyText"/>
      </w:pPr>
      <w:r>
        <w:rPr>
          <w:bCs/>
          <w:b/>
        </w:rPr>
        <w:t xml:space="preserve">Date:</w:t>
      </w:r>
      <w:r>
        <w:t xml:space="preserve"> </w:t>
      </w:r>
      <w:r>
        <w:t xml:space="preserve">14 June 2025</w:t>
      </w:r>
    </w:p>
    <w:p>
      <w:pPr>
        <w:pStyle w:val="BodyText"/>
      </w:pPr>
      <w:r>
        <w:rPr>
          <w:bCs/>
          <w:b/>
        </w:rPr>
        <w:t xml:space="preserve">Valid Until:</w:t>
      </w:r>
      <w:r>
        <w:t xml:space="preserve"> </w:t>
      </w:r>
      <w:r>
        <w:t xml:space="preserve">14 July 2025</w:t>
      </w:r>
    </w:p>
    <w:bookmarkEnd w:id="20"/>
    <w:bookmarkStart w:id="21" w:name="orthobrussels-dental-orthodontic-centre"/>
    <w:p>
      <w:pPr>
        <w:pStyle w:val="Heading1"/>
      </w:pPr>
      <w:r>
        <w:t xml:space="preserve">OrthoBrussels Dental &amp; Orthodontic Centre</w:t>
      </w:r>
    </w:p>
    <w:p>
      <w:pPr>
        <w:pStyle w:val="FirstParagraph"/>
      </w:pPr>
      <w:r>
        <w:t xml:space="preserve">124 Rue de la Loi, 1040 Brussels, Belgium</w:t>
      </w:r>
    </w:p>
    <w:p>
      <w:pPr>
        <w:pStyle w:val="BodyText"/>
      </w:pPr>
      <w:r>
        <w:t xml:space="preserve">VAT No.: BE 0765.432.109 | Tel: +32 2 555 0147 | Email: procurement@orthobrussels.be</w:t>
      </w:r>
    </w:p>
    <w:bookmarkEnd w:id="21"/>
    <w:bookmarkStart w:id="22" w:name="parties-to-this-purchase-order"/>
    <w:p>
      <w:pPr>
        <w:pStyle w:val="Heading3"/>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(Orthodontist Practice)</w:t>
            </w:r>
          </w:p>
        </w:tc>
        <w:tc>
          <w:tcPr/>
          <w:p>
            <w:pPr>
              <w:pStyle w:val="Compact"/>
              <w:jc w:val="left"/>
            </w:pPr>
            <w:r>
              <w:t xml:space="preserve">Supplier</w:t>
            </w:r>
          </w:p>
        </w:tc>
      </w:tr>
      <w:tr>
        <w:tc>
          <w:tcPr/>
          <w:p>
            <w:pPr>
              <w:pStyle w:val="Compact"/>
              <w:jc w:val="left"/>
            </w:pPr>
            <w:r>
              <w:rPr>
                <w:bCs/>
                <w:b/>
              </w:rPr>
              <w:t xml:space="preserve">Company Name</w:t>
            </w:r>
          </w:p>
        </w:tc>
        <w:tc>
          <w:tcPr/>
          <w:p>
            <w:pPr>
              <w:pStyle w:val="Compact"/>
              <w:jc w:val="left"/>
            </w:pPr>
            <w:r>
              <w:t xml:space="preserve">OrthoBrussels Dental &amp; Orthodontic Centre</w:t>
            </w:r>
          </w:p>
        </w:tc>
        <w:tc>
          <w:tcPr/>
          <w:p>
            <w:pPr>
              <w:pStyle w:val="Compact"/>
              <w:jc w:val="left"/>
            </w:pPr>
            <w:r>
              <w:t xml:space="preserve">MediDent Europe BVBA</w:t>
            </w:r>
          </w:p>
        </w:tc>
      </w:tr>
      <w:tr>
        <w:tc>
          <w:tcPr/>
          <w:p>
            <w:pPr>
              <w:pStyle w:val="Compact"/>
              <w:jc w:val="left"/>
            </w:pPr>
            <w:r>
              <w:rPr>
                <w:bCs/>
                <w:b/>
              </w:rPr>
              <w:t xml:space="preserve">Address</w:t>
            </w:r>
          </w:p>
        </w:tc>
        <w:tc>
          <w:tcPr/>
          <w:p>
            <w:pPr>
              <w:pStyle w:val="Compact"/>
              <w:jc w:val="left"/>
            </w:pPr>
            <w:r>
              <w:t xml:space="preserve">124 Rue de la Loi, 1040 Brussels, Belgium</w:t>
            </w:r>
          </w:p>
        </w:tc>
        <w:tc>
          <w:tcPr/>
          <w:p>
            <w:pPr>
              <w:pStyle w:val="Compact"/>
              <w:jc w:val="left"/>
            </w:pPr>
            <w:r>
              <w:t xml:space="preserve">Industrielaan 88, 2000 Antwerp, Belgium</w:t>
            </w:r>
          </w:p>
        </w:tc>
      </w:tr>
      <w:tr>
        <w:tc>
          <w:tcPr/>
          <w:p>
            <w:pPr>
              <w:pStyle w:val="Compact"/>
              <w:jc w:val="left"/>
            </w:pPr>
            <w:r>
              <w:rPr>
                <w:bCs/>
                <w:b/>
              </w:rPr>
              <w:t xml:space="preserve">VAT / BTW No.</w:t>
            </w:r>
          </w:p>
        </w:tc>
        <w:tc>
          <w:tcPr/>
          <w:p>
            <w:pPr>
              <w:pStyle w:val="Compact"/>
              <w:jc w:val="left"/>
            </w:pPr>
            <w:r>
              <w:t xml:space="preserve">BE 0765.432.109</w:t>
            </w:r>
          </w:p>
        </w:tc>
        <w:tc>
          <w:tcPr/>
          <w:p>
            <w:pPr>
              <w:pStyle w:val="Compact"/>
              <w:jc w:val="left"/>
            </w:pPr>
            <w:r>
              <w:t xml:space="preserve">BE 0812.567.234</w:t>
            </w:r>
          </w:p>
        </w:tc>
      </w:tr>
      <w:tr>
        <w:tc>
          <w:tcPr/>
          <w:p>
            <w:pPr>
              <w:pStyle w:val="Compact"/>
              <w:jc w:val="left"/>
            </w:pPr>
            <w:r>
              <w:rPr>
                <w:bCs/>
                <w:b/>
              </w:rPr>
              <w:t xml:space="preserve">Contact Person</w:t>
            </w:r>
          </w:p>
        </w:tc>
        <w:tc>
          <w:tcPr/>
          <w:p>
            <w:pPr>
              <w:pStyle w:val="Compact"/>
              <w:jc w:val="left"/>
            </w:pPr>
            <w:r>
              <w:t xml:space="preserve">Dr. Annelise Vermeulen, Lead Orthodontist</w:t>
            </w:r>
          </w:p>
        </w:tc>
        <w:tc>
          <w:tcPr/>
          <w:p>
            <w:pPr>
              <w:pStyle w:val="Compact"/>
              <w:jc w:val="left"/>
            </w:pPr>
            <w:r>
              <w:t xml:space="preserve">Marc Janssens, Sales Director</w:t>
            </w:r>
          </w:p>
        </w:tc>
      </w:tr>
      <w:tr>
        <w:tc>
          <w:tcPr/>
          <w:p>
            <w:pPr>
              <w:pStyle w:val="Compact"/>
              <w:jc w:val="left"/>
            </w:pPr>
            <w:r>
              <w:rPr>
                <w:bCs/>
                <w:b/>
              </w:rPr>
              <w:t xml:space="preserve">Email</w:t>
            </w:r>
          </w:p>
        </w:tc>
        <w:tc>
          <w:tcPr/>
          <w:p>
            <w:pPr>
              <w:pStyle w:val="Compact"/>
              <w:jc w:val="left"/>
            </w:pPr>
            <w:r>
              <w:t xml:space="preserve">a.vermeulen@orthobrussels.be</w:t>
            </w:r>
          </w:p>
        </w:tc>
        <w:tc>
          <w:tcPr/>
          <w:p>
            <w:pPr>
              <w:pStyle w:val="Compact"/>
              <w:jc w:val="left"/>
            </w:pPr>
            <w:r>
              <w:t xml:space="preserve">m.janssens@medident-europe.be</w:t>
            </w:r>
          </w:p>
        </w:tc>
      </w:tr>
      <w:tr>
        <w:tc>
          <w:tcPr/>
          <w:p>
            <w:pPr>
              <w:pStyle w:val="Compact"/>
              <w:jc w:val="left"/>
            </w:pPr>
            <w:r>
              <w:rPr>
                <w:bCs/>
                <w:b/>
              </w:rPr>
              <w:t xml:space="preserve">Phone</w:t>
            </w:r>
          </w:p>
        </w:tc>
        <w:tc>
          <w:tcPr/>
          <w:p>
            <w:pPr>
              <w:pStyle w:val="Compact"/>
              <w:jc w:val="left"/>
            </w:pPr>
            <w:r>
              <w:t xml:space="preserve">+32 2 555 0147</w:t>
            </w:r>
          </w:p>
        </w:tc>
        <w:tc>
          <w:tcPr/>
          <w:p>
            <w:pPr>
              <w:pStyle w:val="Compact"/>
              <w:jc w:val="left"/>
            </w:pPr>
            <w:r>
              <w:t xml:space="preserve">+32 3 555 8821</w:t>
            </w:r>
          </w:p>
        </w:tc>
      </w:tr>
    </w:tbl>
    <w:bookmarkEnd w:id="22"/>
    <w:bookmarkStart w:id="23" w:name="purchase-order-description"/>
    <w:p>
      <w:pPr>
        <w:pStyle w:val="Heading3"/>
      </w:pPr>
      <w:r>
        <w:t xml:space="preserve">2. Purchase Order Description</w:t>
      </w:r>
    </w:p>
    <w:p>
      <w:pPr>
        <w:pStyle w:val="FirstParagraph"/>
      </w:pPr>
      <w:r>
        <w:t xml:space="preserve">This</w:t>
      </w:r>
      <w:r>
        <w:t xml:space="preserve"> </w:t>
      </w:r>
      <w:r>
        <w:t xml:space="preserve">Purchase Order</w:t>
      </w:r>
      <w:r>
        <w:t xml:space="preserve"> </w:t>
      </w:r>
      <w:r>
        <w:t xml:space="preserve">is issued by OrthoBrussels Dental &amp; Orthodontic Centre, a registered orthodontic practice operating in</w:t>
      </w:r>
      <w:r>
        <w:t xml:space="preserve"> </w:t>
      </w:r>
      <w:r>
        <w:t xml:space="preserve">Belgium Brussels</w:t>
      </w:r>
      <w:r>
        <w:t xml:space="preserve">, for the procurement of orthodontic equipment, consumables, and specialised materials required for the ongoing clinical operations of our</w:t>
      </w:r>
      <w:r>
        <w:t xml:space="preserve"> </w:t>
      </w:r>
      <w:r>
        <w:t xml:space="preserve">Orthodontist</w:t>
      </w:r>
      <w:r>
        <w:t xml:space="preserve"> </w:t>
      </w:r>
      <w:r>
        <w:t xml:space="preserve">team. This document serves as a formal binding request for the supply of goods listed below and constitutes the primary reference for all subsequent invoicing, delivery scheduling, and quality assurance inspections associated with this transaction.</w:t>
      </w:r>
    </w:p>
    <w:p>
      <w:pPr>
        <w:pStyle w:val="BodyText"/>
      </w:pPr>
      <w:r>
        <w:t xml:space="preserve">All items procured under this</w:t>
      </w:r>
      <w:r>
        <w:t xml:space="preserve"> </w:t>
      </w:r>
      <w:r>
        <w:t xml:space="preserve">Purchase Order</w:t>
      </w:r>
      <w:r>
        <w:t xml:space="preserve"> </w:t>
      </w:r>
      <w:r>
        <w:t xml:space="preserve">must comply with the applicable Belgian and European Union medical device regulations, including Regulation (EU) 2017/745 (MDR) and the relevant orthodontic appliance standards. The supplier acknowledges that all goods are intended for use by a licensed</w:t>
      </w:r>
      <w:r>
        <w:t xml:space="preserve"> </w:t>
      </w:r>
      <w:r>
        <w:t xml:space="preserve">Orthodontist</w:t>
      </w:r>
      <w:r>
        <w:t xml:space="preserve"> </w:t>
      </w:r>
      <w:r>
        <w:t xml:space="preserve">and dental professionals within the Brussels-Capital Region of Belgium and must meet the CE marking requirements for medical devices marketed in the European Economic Area.</w:t>
      </w:r>
    </w:p>
    <w:bookmarkEnd w:id="23"/>
    <w:bookmarkStart w:id="24" w:name="line-items-and-pricing"/>
    <w:p>
      <w:pPr>
        <w:pStyle w:val="Heading3"/>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Self-ligating orthodontic brackets (metal, 0.022" slot) – full arch set</w:t>
            </w:r>
          </w:p>
        </w:tc>
        <w:tc>
          <w:tcPr/>
          <w:p>
            <w:pPr>
              <w:pStyle w:val="Compact"/>
              <w:jc w:val="left"/>
            </w:pPr>
            <w:r>
              <w:t xml:space="preserve">40</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NiTi archwires, rectangular 0.019" x 0.025", 18-inch length</w:t>
            </w:r>
          </w:p>
        </w:tc>
        <w:tc>
          <w:tcPr/>
          <w:p>
            <w:pPr>
              <w:pStyle w:val="Compact"/>
              <w:jc w:val="left"/>
            </w:pPr>
            <w:r>
              <w:t xml:space="preserve">200</w:t>
            </w:r>
          </w:p>
        </w:tc>
        <w:tc>
          <w:tcPr/>
          <w:p>
            <w:pPr>
              <w:pStyle w:val="Compact"/>
              <w:jc w:val="left"/>
            </w:pPr>
            <w:r>
              <w:t xml:space="preserve">pcs</w:t>
            </w:r>
          </w:p>
        </w:tc>
        <w:tc>
          <w:tcPr/>
          <w:p>
            <w:pPr>
              <w:pStyle w:val="Compact"/>
              <w:jc w:val="left"/>
            </w:pPr>
            <w:r>
              <w:t xml:space="preserve">4.25</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Ceramic orthodontic brackets (aesthetic, 0.022" slot) – full arch set</w:t>
            </w:r>
          </w:p>
        </w:tc>
        <w:tc>
          <w:tcPr/>
          <w:p>
            <w:pPr>
              <w:pStyle w:val="Compact"/>
              <w:jc w:val="left"/>
            </w:pPr>
            <w:r>
              <w:t xml:space="preserve">25</w:t>
            </w:r>
          </w:p>
        </w:tc>
        <w:tc>
          <w:tcPr/>
          <w:p>
            <w:pPr>
              <w:pStyle w:val="Compact"/>
              <w:jc w:val="left"/>
            </w:pPr>
            <w:r>
              <w:t xml:space="preserve">set</w:t>
            </w:r>
          </w:p>
        </w:tc>
        <w:tc>
          <w:tcPr/>
          <w:p>
            <w:pPr>
              <w:pStyle w:val="Compact"/>
              <w:jc w:val="left"/>
            </w:pPr>
            <w:r>
              <w:t xml:space="preserve">320.00</w:t>
            </w:r>
          </w:p>
        </w:tc>
        <w:tc>
          <w:tcPr/>
          <w:p>
            <w:pPr>
              <w:pStyle w:val="Compact"/>
              <w:jc w:val="left"/>
            </w:pPr>
            <w:r>
              <w:t xml:space="preserve">8,000.00</w:t>
            </w:r>
          </w:p>
        </w:tc>
      </w:tr>
      <w:tr>
        <w:tc>
          <w:tcPr/>
          <w:p>
            <w:pPr>
              <w:pStyle w:val="Compact"/>
              <w:jc w:val="left"/>
            </w:pPr>
            <w:r>
              <w:t xml:space="preserve">04</w:t>
            </w:r>
          </w:p>
        </w:tc>
        <w:tc>
          <w:tcPr/>
          <w:p>
            <w:pPr>
              <w:pStyle w:val="Compact"/>
              <w:jc w:val="left"/>
            </w:pPr>
            <w:r>
              <w:t xml:space="preserve">Orthodontic elastics, assorted colours, 3/16" x 5/16"</w:t>
            </w:r>
          </w:p>
        </w:tc>
        <w:tc>
          <w:tcPr/>
          <w:p>
            <w:pPr>
              <w:pStyle w:val="Compact"/>
              <w:jc w:val="left"/>
            </w:pPr>
            <w:r>
              <w:t xml:space="preserve">500</w:t>
            </w:r>
          </w:p>
        </w:tc>
        <w:tc>
          <w:tcPr/>
          <w:p>
            <w:pPr>
              <w:pStyle w:val="Compact"/>
              <w:jc w:val="left"/>
            </w:pPr>
            <w:r>
              <w:t xml:space="preserve">box</w:t>
            </w:r>
          </w:p>
        </w:tc>
        <w:tc>
          <w:tcPr/>
          <w:p>
            <w:pPr>
              <w:pStyle w:val="Compact"/>
              <w:jc w:val="left"/>
            </w:pPr>
            <w:r>
              <w:t xml:space="preserve">12.50</w:t>
            </w:r>
          </w:p>
        </w:tc>
        <w:tc>
          <w:tcPr/>
          <w:p>
            <w:pPr>
              <w:pStyle w:val="Compact"/>
              <w:jc w:val="left"/>
            </w:pPr>
            <w:r>
              <w:t xml:space="preserve">6,250.00</w:t>
            </w:r>
          </w:p>
        </w:tc>
      </w:tr>
      <w:tr>
        <w:tc>
          <w:tcPr/>
          <w:p>
            <w:pPr>
              <w:pStyle w:val="Compact"/>
              <w:jc w:val="left"/>
            </w:pPr>
            <w:r>
              <w:t xml:space="preserve">05</w:t>
            </w:r>
          </w:p>
        </w:tc>
        <w:tc>
          <w:tcPr/>
          <w:p>
            <w:pPr>
              <w:pStyle w:val="Compact"/>
              <w:jc w:val="left"/>
            </w:pPr>
            <w:r>
              <w:t xml:space="preserve">Composite bonding material for orthodontic attachments (light-cure)</w:t>
            </w:r>
          </w:p>
        </w:tc>
        <w:tc>
          <w:tcPr/>
          <w:p>
            <w:pPr>
              <w:pStyle w:val="Compact"/>
              <w:jc w:val="left"/>
            </w:pPr>
            <w:r>
              <w:t xml:space="preserve">60</w:t>
            </w:r>
          </w:p>
        </w:tc>
        <w:tc>
          <w:tcPr/>
          <w:p>
            <w:pPr>
              <w:pStyle w:val="Compact"/>
              <w:jc w:val="left"/>
            </w:pPr>
            <w:r>
              <w:t xml:space="preserve">syringe</w:t>
            </w:r>
          </w:p>
        </w:tc>
        <w:tc>
          <w:tcPr/>
          <w:p>
            <w:pPr>
              <w:pStyle w:val="Compact"/>
              <w:jc w:val="left"/>
            </w:pPr>
            <w:r>
              <w:t xml:space="preserve">38.00</w:t>
            </w:r>
          </w:p>
        </w:tc>
        <w:tc>
          <w:tcPr/>
          <w:p>
            <w:pPr>
              <w:pStyle w:val="Compact"/>
              <w:jc w:val="left"/>
            </w:pPr>
            <w:r>
              <w:t xml:space="preserve">2,280.00</w:t>
            </w:r>
          </w:p>
        </w:tc>
      </w:tr>
      <w:tr>
        <w:tc>
          <w:tcPr/>
          <w:p>
            <w:pPr>
              <w:pStyle w:val="Compact"/>
              <w:jc w:val="left"/>
            </w:pPr>
            <w:r>
              <w:t xml:space="preserve">06</w:t>
            </w:r>
          </w:p>
        </w:tc>
        <w:tc>
          <w:tcPr/>
          <w:p>
            <w:pPr>
              <w:pStyle w:val="Compact"/>
              <w:jc w:val="left"/>
            </w:pPr>
            <w:r>
              <w:t xml:space="preserve">Orthodontic pliers set (6-piece, stainless steel, ergonomic handle)</w:t>
            </w:r>
          </w:p>
        </w:tc>
        <w:tc>
          <w:tcPr/>
          <w:p>
            <w:pPr>
              <w:pStyle w:val="Compact"/>
              <w:jc w:val="left"/>
            </w:pPr>
            <w:r>
              <w:t xml:space="preserve">10</w:t>
            </w:r>
          </w:p>
        </w:tc>
        <w:tc>
          <w:tcPr/>
          <w:p>
            <w:pPr>
              <w:pStyle w:val="Compact"/>
              <w:jc w:val="left"/>
            </w:pPr>
            <w:r>
              <w:t xml:space="preserve">set</w:t>
            </w:r>
          </w:p>
        </w:tc>
        <w:tc>
          <w:tcPr/>
          <w:p>
            <w:pPr>
              <w:pStyle w:val="Compact"/>
              <w:jc w:val="left"/>
            </w:pPr>
            <w:r>
              <w:t xml:space="preserve">245.00</w:t>
            </w:r>
          </w:p>
        </w:tc>
        <w:tc>
          <w:tcPr/>
          <w:p>
            <w:pPr>
              <w:pStyle w:val="Compact"/>
              <w:jc w:val="left"/>
            </w:pPr>
            <w:r>
              <w:t xml:space="preserve">2,450.00</w:t>
            </w:r>
          </w:p>
        </w:tc>
      </w:tr>
      <w:tr>
        <w:tc>
          <w:tcPr/>
          <w:p>
            <w:pPr>
              <w:pStyle w:val="Compact"/>
              <w:jc w:val="left"/>
            </w:pPr>
            <w:r>
              <w:t xml:space="preserve">07</w:t>
            </w:r>
          </w:p>
        </w:tc>
        <w:tc>
          <w:tcPr/>
          <w:p>
            <w:pPr>
              <w:pStyle w:val="Compact"/>
              <w:jc w:val="left"/>
            </w:pPr>
            <w:r>
              <w:t xml:space="preserve">Intraoral digital scanner tips (compatible with 3Shape TRIOS 5)</w:t>
            </w:r>
          </w:p>
        </w:tc>
        <w:tc>
          <w:tcPr/>
          <w:p>
            <w:pPr>
              <w:pStyle w:val="Compact"/>
              <w:jc w:val="left"/>
            </w:pPr>
            <w:r>
              <w:t xml:space="preserve">30</w:t>
            </w:r>
          </w:p>
        </w:tc>
        <w:tc>
          <w:tcPr/>
          <w:p>
            <w:pPr>
              <w:pStyle w:val="Compact"/>
              <w:jc w:val="left"/>
            </w:pPr>
            <w:r>
              <w:t xml:space="preserve">pcs</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08</w:t>
            </w:r>
          </w:p>
        </w:tc>
        <w:tc>
          <w:tcPr/>
          <w:p>
            <w:pPr>
              <w:pStyle w:val="Compact"/>
              <w:jc w:val="left"/>
            </w:pPr>
            <w:r>
              <w:t xml:space="preserve">Orthodontic wax and patient comfort kits</w:t>
            </w:r>
          </w:p>
        </w:tc>
        <w:tc>
          <w:tcPr/>
          <w:p>
            <w:pPr>
              <w:pStyle w:val="Compact"/>
              <w:jc w:val="left"/>
            </w:pPr>
            <w:r>
              <w:t xml:space="preserve">150</w:t>
            </w:r>
          </w:p>
        </w:tc>
        <w:tc>
          <w:tcPr/>
          <w:p>
            <w:pPr>
              <w:pStyle w:val="Compact"/>
              <w:jc w:val="left"/>
            </w:pPr>
            <w:r>
              <w:t xml:space="preserve">kit</w:t>
            </w:r>
          </w:p>
        </w:tc>
        <w:tc>
          <w:tcPr/>
          <w:p>
            <w:pPr>
              <w:pStyle w:val="Compact"/>
              <w:jc w:val="left"/>
            </w:pPr>
            <w:r>
              <w:t xml:space="preserve">3.80</w:t>
            </w:r>
          </w:p>
        </w:tc>
        <w:tc>
          <w:tcPr/>
          <w:p>
            <w:pPr>
              <w:pStyle w:val="Compact"/>
              <w:jc w:val="left"/>
            </w:pPr>
            <w:r>
              <w:t xml:space="preserve">570.00</w:t>
            </w:r>
          </w:p>
        </w:tc>
      </w:tr>
      <w:tr>
        <w:tc>
          <w:tcPr/>
          <w:p>
            <w:pPr>
              <w:pStyle w:val="Compact"/>
              <w:jc w:val="left"/>
            </w:pPr>
            <w:r>
              <w:t xml:space="preserve">09</w:t>
            </w:r>
          </w:p>
        </w:tc>
        <w:tc>
          <w:tcPr/>
          <w:p>
            <w:pPr>
              <w:pStyle w:val="Compact"/>
              <w:jc w:val="left"/>
            </w:pPr>
            <w:r>
              <w:t xml:space="preserve">Retainer trays (Hawley type), custom moulded, per patient</w:t>
            </w:r>
          </w:p>
        </w:tc>
        <w:tc>
          <w:tcPr/>
          <w:p>
            <w:pPr>
              <w:pStyle w:val="Compact"/>
              <w:jc w:val="left"/>
            </w:pPr>
            <w:r>
              <w:t xml:space="preserve">80</w:t>
            </w:r>
          </w:p>
        </w:tc>
        <w:tc>
          <w:tcPr/>
          <w:p>
            <w:pPr>
              <w:pStyle w:val="Compact"/>
              <w:jc w:val="left"/>
            </w:pPr>
            <w:r>
              <w:t xml:space="preserve">pcs</w:t>
            </w:r>
          </w:p>
        </w:tc>
        <w:tc>
          <w:tcPr/>
          <w:p>
            <w:pPr>
              <w:pStyle w:val="Compact"/>
              <w:jc w:val="left"/>
            </w:pPr>
            <w:r>
              <w:t xml:space="preserve">28.00</w:t>
            </w:r>
          </w:p>
        </w:tc>
        <w:tc>
          <w:tcPr/>
          <w:p>
            <w:pPr>
              <w:pStyle w:val="Compact"/>
              <w:jc w:val="left"/>
            </w:pPr>
            <w:r>
              <w:t xml:space="preserve">2,240.00</w:t>
            </w:r>
          </w:p>
        </w:tc>
      </w:tr>
      <w:tr>
        <w:tc>
          <w:tcPr/>
          <w:p>
            <w:pPr>
              <w:pStyle w:val="Compact"/>
              <w:jc w:val="left"/>
            </w:pPr>
            <w:r>
              <w:t xml:space="preserve">10</w:t>
            </w:r>
          </w:p>
        </w:tc>
        <w:tc>
          <w:tcPr/>
          <w:p>
            <w:pPr>
              <w:pStyle w:val="Compact"/>
              <w:jc w:val="left"/>
            </w:pPr>
            <w:r>
              <w:t xml:space="preserve">Orthodontic headgear and face-bow components (adjustable)</w:t>
            </w:r>
          </w:p>
        </w:tc>
        <w:tc>
          <w:tcPr/>
          <w:p>
            <w:pPr>
              <w:pStyle w:val="Compact"/>
              <w:jc w:val="left"/>
            </w:pPr>
            <w:r>
              <w:t xml:space="preserve">15</w:t>
            </w:r>
          </w:p>
        </w:tc>
        <w:tc>
          <w:tcPr/>
          <w:p>
            <w:pPr>
              <w:pStyle w:val="Compact"/>
              <w:jc w:val="left"/>
            </w:pPr>
            <w:r>
              <w:t xml:space="preserve">set</w:t>
            </w:r>
          </w:p>
        </w:tc>
        <w:tc>
          <w:tcPr/>
          <w:p>
            <w:pPr>
              <w:pStyle w:val="Compact"/>
              <w:jc w:val="left"/>
            </w:pPr>
            <w:r>
              <w:t xml:space="preserve">165.00</w:t>
            </w:r>
          </w:p>
        </w:tc>
        <w:tc>
          <w:tcPr/>
          <w:p>
            <w:pPr>
              <w:pStyle w:val="Compact"/>
              <w:jc w:val="left"/>
            </w:pPr>
            <w:r>
              <w:t xml:space="preserve">2,475.00</w:t>
            </w:r>
          </w:p>
        </w:tc>
      </w:tr>
      <w:tr>
        <w:tc>
          <w:tcPr>
            <w:gridSpan w:val="5"/>
          </w:tcPr>
          <w:p>
            <w:pPr>
              <w:pStyle w:val="Compact"/>
              <w:jc w:val="right"/>
            </w:pPr>
            <w:r>
              <w:t xml:space="preserve">Subtotal (excl. VAT):</w:t>
            </w:r>
          </w:p>
        </w:tc>
        <w:tc>
          <w:tcPr/>
          <w:p>
            <w:pPr>
              <w:pStyle w:val="Compact"/>
              <w:jc w:val="left"/>
            </w:pPr>
            <w:r>
              <w:t xml:space="preserve">35,365.00</w:t>
            </w:r>
          </w:p>
        </w:tc>
      </w:tr>
      <w:tr>
        <w:tc>
          <w:tcPr>
            <w:gridSpan w:val="5"/>
          </w:tcPr>
          <w:p>
            <w:pPr>
              <w:pStyle w:val="Compact"/>
              <w:jc w:val="right"/>
            </w:pPr>
            <w:r>
              <w:t xml:space="preserve">VAT (21% – Belgium):</w:t>
            </w:r>
          </w:p>
        </w:tc>
        <w:tc>
          <w:tcPr/>
          <w:p>
            <w:pPr>
              <w:pStyle w:val="Compact"/>
              <w:jc w:val="left"/>
            </w:pPr>
            <w:r>
              <w:t xml:space="preserve">7,426.65</w:t>
            </w:r>
          </w:p>
        </w:tc>
      </w:tr>
      <w:tr>
        <w:tc>
          <w:tcPr>
            <w:gridSpan w:val="5"/>
          </w:tcPr>
          <w:p>
            <w:pPr>
              <w:pStyle w:val="Compact"/>
              <w:jc w:val="right"/>
            </w:pPr>
            <w:r>
              <w:t xml:space="preserve">TOTAL (incl. VAT):</w:t>
            </w:r>
          </w:p>
        </w:tc>
        <w:tc>
          <w:tcPr/>
          <w:p>
            <w:pPr>
              <w:pStyle w:val="Compact"/>
              <w:jc w:val="left"/>
            </w:pPr>
            <w:r>
              <w:t xml:space="preserve">42,791.65</w:t>
            </w:r>
          </w:p>
        </w:tc>
      </w:tr>
    </w:tbl>
    <w:bookmarkEnd w:id="24"/>
    <w:bookmarkStart w:id="25" w:name="delivery-and-logistics"/>
    <w:p>
      <w:pPr>
        <w:pStyle w:val="Heading3"/>
      </w:pPr>
      <w:r>
        <w:t xml:space="preserve">4. Delivery and Logistics</w:t>
      </w:r>
    </w:p>
    <w:p>
      <w:pPr>
        <w:pStyle w:val="FirstParagraph"/>
      </w:pPr>
      <w:r>
        <w:t xml:space="preserve">The supplier shall deliver all goods listed in this</w:t>
      </w:r>
      <w:r>
        <w:t xml:space="preserve"> </w:t>
      </w:r>
      <w:r>
        <w:t xml:space="preserve">Purchase Order</w:t>
      </w:r>
      <w:r>
        <w:t xml:space="preserve"> </w:t>
      </w:r>
      <w:r>
        <w:t xml:space="preserve">to the OrthoBrussels Dental &amp; Orthodontic Centre premises located at 124 Rue de la Loi, 1040 Brussels, Belgium. Delivery is scheduled no later than</w:t>
      </w:r>
      <w:r>
        <w:t xml:space="preserve"> </w:t>
      </w:r>
      <w:r>
        <w:rPr>
          <w:bCs/>
          <w:b/>
        </w:rPr>
        <w:t xml:space="preserve">28 June 2025</w:t>
      </w:r>
      <w:r>
        <w:t xml:space="preserve">. All shipments must be made via a registered courier service operating within Belgium and must include a packing list that references this</w:t>
      </w:r>
      <w:r>
        <w:t xml:space="preserve"> </w:t>
      </w:r>
      <w:r>
        <w:t xml:space="preserve">Purchase Order</w:t>
      </w:r>
      <w:r>
        <w:t xml:space="preserve"> </w:t>
      </w:r>
      <w:r>
        <w:t xml:space="preserve">number (BB-ORT-2025-04782). The supplier is responsible for all transportation costs, insurance, and customs documentation (if applicable for intra-EU transfers). Upon arrival at our Brussels facility, our receiving team will inspect all orthodontic items for damage, correct quantity, and compliance with the specifications outlined in this document. Any discrepancies must be reported to the supplier within five (5) business days of delivery.</w:t>
      </w:r>
    </w:p>
    <w:bookmarkEnd w:id="25"/>
    <w:bookmarkStart w:id="26" w:name="payment-terms-and-conditions"/>
    <w:p>
      <w:pPr>
        <w:pStyle w:val="Heading3"/>
      </w:pPr>
      <w:r>
        <w:t xml:space="preserve">5. Payment Terms and Conditions</w:t>
      </w:r>
    </w:p>
    <w:p>
      <w:pPr>
        <w:numPr>
          <w:ilvl w:val="0"/>
          <w:numId w:val="1001"/>
        </w:numPr>
        <w:pStyle w:val="Compact"/>
      </w:pPr>
      <w:r>
        <w:rPr>
          <w:bCs/>
          <w:b/>
        </w:rPr>
        <w:t xml:space="preserve">Payment Method:</w:t>
      </w:r>
      <w:r>
        <w:t xml:space="preserve"> </w:t>
      </w:r>
      <w:r>
        <w:t xml:space="preserve">Bank transfer (SEPA) to the supplier's designated Belgian bank account. IBAN and BIC to be confirmed in the supplier's proforma invoice.</w:t>
      </w:r>
    </w:p>
    <w:p>
      <w:pPr>
        <w:numPr>
          <w:ilvl w:val="0"/>
          <w:numId w:val="1001"/>
        </w:numPr>
        <w:pStyle w:val="Compact"/>
      </w:pPr>
      <w:r>
        <w:rPr>
          <w:bCs/>
          <w:b/>
        </w:rPr>
        <w:t xml:space="preserve">Payment Due Date:</w:t>
      </w:r>
      <w:r>
        <w:t xml:space="preserve"> </w:t>
      </w:r>
      <w:r>
        <w:t xml:space="preserve">Net 30 days from the date of receipt of a valid invoice referencing this</w:t>
      </w:r>
      <w:r>
        <w:t xml:space="preserve"> </w:t>
      </w:r>
      <w:r>
        <w:t xml:space="preserve">Purchase Order</w:t>
      </w:r>
      <w:r>
        <w:t xml:space="preserve">. No payment shall be due prior to satisfactory delivery and inspection of all goods.</w:t>
      </w:r>
    </w:p>
    <w:p>
      <w:pPr>
        <w:numPr>
          <w:ilvl w:val="0"/>
          <w:numId w:val="1001"/>
        </w:numPr>
        <w:pStyle w:val="Compact"/>
      </w:pPr>
      <w:r>
        <w:rPr>
          <w:bCs/>
          <w:b/>
        </w:rPr>
        <w:t xml:space="preserve">Currency:</w:t>
      </w:r>
      <w:r>
        <w:t xml:space="preserve"> </w:t>
      </w:r>
      <w:r>
        <w:t xml:space="preserve">All amounts are denominated in Euro (EUR). No currency conversion fees shall be applied.</w:t>
      </w:r>
    </w:p>
    <w:p>
      <w:pPr>
        <w:numPr>
          <w:ilvl w:val="0"/>
          <w:numId w:val="1001"/>
        </w:numPr>
        <w:pStyle w:val="Compact"/>
      </w:pPr>
      <w:r>
        <w:rPr>
          <w:bCs/>
          <w:b/>
        </w:rPr>
        <w:t xml:space="preserve">Warranty:</w:t>
      </w:r>
      <w:r>
        <w:t xml:space="preserve"> </w:t>
      </w:r>
      <w:r>
        <w:t xml:space="preserve">All orthodontic equipment and materials must carry a minimum manufacturer's warranty of two (2) years from the date of delivery. The supplier shall provide full warranty documentation with each shipment.</w:t>
      </w:r>
    </w:p>
    <w:p>
      <w:pPr>
        <w:numPr>
          <w:ilvl w:val="0"/>
          <w:numId w:val="1001"/>
        </w:numPr>
        <w:pStyle w:val="Compact"/>
      </w:pPr>
      <w:r>
        <w:rPr>
          <w:bCs/>
          <w:b/>
        </w:rPr>
        <w:t xml:space="preserve">Quality Assurance:</w:t>
      </w:r>
      <w:r>
        <w:t xml:space="preserve"> </w:t>
      </w:r>
      <w:r>
        <w:t xml:space="preserve">All products must bear valid CE marking and comply with Belgian and EU medical device regulations. The supplier warrants that all items are new, unused, and free from defects.</w:t>
      </w:r>
    </w:p>
    <w:p>
      <w:pPr>
        <w:numPr>
          <w:ilvl w:val="0"/>
          <w:numId w:val="1001"/>
        </w:numPr>
        <w:pStyle w:val="Compact"/>
      </w:pPr>
      <w:r>
        <w:rPr>
          <w:bCs/>
          <w:b/>
        </w:rPr>
        <w:t xml:space="preserve">Return Policy:</w:t>
      </w:r>
      <w:r>
        <w:t xml:space="preserve"> </w:t>
      </w:r>
      <w:r>
        <w:t xml:space="preserve">Defective or non-conforming items may be returned within thirty (30) days of delivery at the supplier's expense. A replacement or full refund will be issued within fourteen (14) business days of return receipt.</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and any disputes arising therefrom shall be governed by the laws of the Kingdom of Belgium. Jurisdiction is exclusively vested in the competent courts of Brussels, Belgium.</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patient-related information exchanged in connection with this transaction.</w:t>
      </w:r>
    </w:p>
    <w:bookmarkEnd w:id="26"/>
    <w:bookmarkStart w:id="27" w:name="authorisation-and-signatures"/>
    <w:p>
      <w:pPr>
        <w:pStyle w:val="Heading3"/>
      </w:pPr>
      <w:r>
        <w:t xml:space="preserve">6. Authorisation and Signatures</w:t>
      </w:r>
    </w:p>
    <w:p>
      <w:pPr>
        <w:pStyle w:val="FirstParagraph"/>
      </w:pPr>
      <w:r>
        <w:t xml:space="preserve">This</w:t>
      </w:r>
      <w:r>
        <w:t xml:space="preserve"> </w:t>
      </w:r>
      <w:r>
        <w:t xml:space="preserve">Purchase Order</w:t>
      </w:r>
      <w:r>
        <w:t xml:space="preserve"> </w:t>
      </w:r>
      <w:r>
        <w:t xml:space="preserve">is authorised and executed on behalf of the OrthoBrussels Dental &amp; Orthodontic Centre, a registered healthcare provider in</w:t>
      </w:r>
      <w:r>
        <w:t xml:space="preserve"> </w:t>
      </w:r>
      <w:r>
        <w:t xml:space="preserve">Belgium Brussels</w:t>
      </w:r>
      <w:r>
        <w:t xml:space="preserve">. By signing below, both parties acknowledge and agree to all terms, conditions, and specifications set forth in this document. This</w:t>
      </w:r>
      <w:r>
        <w:t xml:space="preserve"> </w:t>
      </w:r>
      <w:r>
        <w:t xml:space="preserve">Purchase Order</w:t>
      </w:r>
      <w:r>
        <w:t xml:space="preserve"> </w:t>
      </w:r>
      <w:r>
        <w:t xml:space="preserve">becomes effective upon the signature of both the authorised representative of the</w:t>
      </w:r>
      <w:r>
        <w:t xml:space="preserve"> </w:t>
      </w:r>
      <w:r>
        <w:t xml:space="preserve">Orthodontist</w:t>
      </w:r>
      <w:r>
        <w:t xml:space="preserve"> </w:t>
      </w:r>
      <w:r>
        <w:t xml:space="preserve">practice and the authorised representative of the supplier.</w:t>
      </w:r>
    </w:p>
    <w:p>
      <w:pPr>
        <w:pStyle w:val="BodyText"/>
      </w:pPr>
      <w:r>
        <w:rPr>
          <w:bCs/>
          <w:b/>
        </w:rPr>
        <w:t xml:space="preserve">For the Buyer (Orthodontist Practice):</w:t>
      </w:r>
      <w:r>
        <w:br/>
      </w:r>
      <w:r>
        <w:br/>
      </w:r>
      <w:r>
        <w:t xml:space="preserve">Name: Dr. Annelise Vermeulen</w:t>
      </w:r>
      <w:r>
        <w:br/>
      </w:r>
      <w:r>
        <w:t xml:space="preserve">Title: Lead Orthodontist / Practice Director</w:t>
      </w:r>
      <w:r>
        <w:br/>
      </w:r>
      <w:r>
        <w:t xml:space="preserve">Signature: _____________________________</w:t>
      </w:r>
      <w:r>
        <w:br/>
      </w:r>
      <w:r>
        <w:t xml:space="preserve">Date: _____________________________</w:t>
      </w:r>
    </w:p>
    <w:p>
      <w:pPr>
        <w:pStyle w:val="BodyText"/>
      </w:pPr>
      <w:r>
        <w:rPr>
          <w:bCs/>
          <w:b/>
        </w:rPr>
        <w:t xml:space="preserve">For the Supplier:</w:t>
      </w:r>
      <w:r>
        <w:br/>
      </w:r>
      <w:r>
        <w:br/>
      </w:r>
      <w:r>
        <w:t xml:space="preserve">Name: Marc Janssens</w:t>
      </w:r>
      <w:r>
        <w:br/>
      </w:r>
      <w:r>
        <w:t xml:space="preserve">Title: Sales Director, MediDent Europe BVBA</w:t>
      </w:r>
      <w:r>
        <w:br/>
      </w:r>
      <w:r>
        <w:t xml:space="preserve">Signature: _____________________________</w:t>
      </w:r>
      <w:r>
        <w:br/>
      </w:r>
      <w:r>
        <w:t xml:space="preserve">Date: _____________________________</w:t>
      </w:r>
    </w:p>
    <w:bookmarkEnd w:id="27"/>
    <w:p>
      <w:pPr>
        <w:pStyle w:val="BodyText"/>
      </w:pPr>
      <w:r>
        <w:t xml:space="preserve">OrthoBrussels Dental &amp; Orthodontic Centre — 124 Rue de la Loi, 1040 Brussels, Belgium — VAT BE 0765.432.109</w:t>
      </w:r>
    </w:p>
    <w:p>
      <w:pPr>
        <w:pStyle w:val="BodyText"/>
      </w:pPr>
      <w:r>
        <w:t xml:space="preserve">This Purchase Order (BB-ORT-2025-04782) is a controlled document. Unauthorised reproduction or distribution is prohibited. All orthodontic supplies procured under this order are intended exclusively for professional use by licensed dental and orthodontic practitioners in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Belgium Brussels</dc:title>
  <dc:creator/>
  <dc:language>en</dc:language>
  <cp:keywords/>
  <dcterms:created xsi:type="dcterms:W3CDTF">2026-10-10T01:22:24Z</dcterms:created>
  <dcterms:modified xsi:type="dcterms:W3CDTF">2026-10-10T01:22:24Z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