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Orthodontic Equipment &amp; Supplies Procurement</w:t>
      </w:r>
    </w:p>
    <w:p>
      <w:pPr>
        <w:pStyle w:val="BodyText"/>
      </w:pPr>
      <w:r>
        <w:t xml:space="preserve">Dr. Mahmoud El-Sayed Orthodontic Clinic</w:t>
      </w:r>
    </w:p>
    <w:p>
      <w:pPr>
        <w:pStyle w:val="BodyText"/>
      </w:pPr>
      <w:r>
        <w:t xml:space="preserve">142 Corniche El-Nil Street, Smouha District, Egypt Alexandria</w:t>
      </w:r>
    </w:p>
    <w:p>
      <w:pPr>
        <w:pStyle w:val="BodyText"/>
      </w:pPr>
      <w:r>
        <w:t xml:space="preserve">PO No: AXL-ORT-2025-0472</w:t>
      </w:r>
    </w:p>
    <w:bookmarkEnd w:id="20"/>
    <w:bookmarkStart w:id="21" w:name="buyer-orthodontist-practice"/>
    <w:p>
      <w:pPr>
        <w:pStyle w:val="Heading3"/>
      </w:pPr>
      <w:r>
        <w:t xml:space="preserve">Buyer (Orthodontist Practice)</w:t>
      </w:r>
    </w:p>
    <w:p>
      <w:pPr>
        <w:pStyle w:val="FirstParagraph"/>
      </w:pPr>
      <w:r>
        <w:rPr>
          <w:bCs/>
          <w:b/>
        </w:rPr>
        <w:t xml:space="preserve">Practice Name:</w:t>
      </w:r>
      <w:r>
        <w:t xml:space="preserve"> </w:t>
      </w:r>
      <w:r>
        <w:t xml:space="preserve">Dr. Mahmoud El-Sayed Orthodontic Clinic</w:t>
      </w:r>
    </w:p>
    <w:p>
      <w:pPr>
        <w:pStyle w:val="BodyText"/>
      </w:pPr>
      <w:r>
        <w:rPr>
          <w:bCs/>
          <w:b/>
        </w:rPr>
        <w:t xml:space="preserve">Specialty:</w:t>
      </w:r>
      <w:r>
        <w:t xml:space="preserve"> </w:t>
      </w:r>
      <w:r>
        <w:t xml:space="preserve">Orthodontist – Braces, Aligners &amp; Jaw Alignment</w:t>
      </w:r>
    </w:p>
    <w:p>
      <w:pPr>
        <w:pStyle w:val="BodyText"/>
      </w:pPr>
      <w:r>
        <w:rPr>
          <w:bCs/>
          <w:b/>
        </w:rPr>
        <w:t xml:space="preserve">Address:</w:t>
      </w:r>
      <w:r>
        <w:t xml:space="preserve"> </w:t>
      </w:r>
      <w:r>
        <w:t xml:space="preserve">142 Corniche El-Nil Street, Smouha, Egypt Alexandria</w:t>
      </w:r>
    </w:p>
    <w:p>
      <w:pPr>
        <w:pStyle w:val="BodyText"/>
      </w:pPr>
      <w:r>
        <w:rPr>
          <w:bCs/>
          <w:b/>
        </w:rPr>
        <w:t xml:space="preserve">Phone:</w:t>
      </w:r>
      <w:r>
        <w:t xml:space="preserve"> </w:t>
      </w:r>
      <w:r>
        <w:t xml:space="preserve">+20 3 552 8841</w:t>
      </w:r>
    </w:p>
    <w:p>
      <w:pPr>
        <w:pStyle w:val="BodyText"/>
      </w:pPr>
      <w:r>
        <w:rPr>
          <w:bCs/>
          <w:b/>
        </w:rPr>
        <w:t xml:space="preserve">Email:</w:t>
      </w:r>
      <w:r>
        <w:t xml:space="preserve"> </w:t>
      </w:r>
      <w:r>
        <w:t xml:space="preserve">procurement@elsayedortho-alex.com</w:t>
      </w:r>
    </w:p>
    <w:p>
      <w:pPr>
        <w:pStyle w:val="BodyText"/>
      </w:pPr>
      <w:r>
        <w:rPr>
          <w:bCs/>
          <w:b/>
        </w:rPr>
        <w:t xml:space="preserve">Tax ID (VAT):</w:t>
      </w:r>
      <w:r>
        <w:t xml:space="preserve"> </w:t>
      </w:r>
      <w:r>
        <w:t xml:space="preserve">552-884-103-77</w:t>
      </w:r>
    </w:p>
    <w:p>
      <w:pPr>
        <w:pStyle w:val="BodyText"/>
      </w:pPr>
      <w:r>
        <w:rPr>
          <w:bCs/>
          <w:b/>
        </w:rPr>
        <w:t xml:space="preserve">Commercial Reg. No:</w:t>
      </w:r>
      <w:r>
        <w:t xml:space="preserve"> </w:t>
      </w:r>
      <w:r>
        <w:t xml:space="preserve">AXL-2019-44721</w:t>
      </w:r>
    </w:p>
    <w:bookmarkEnd w:id="21"/>
    <w:bookmarkStart w:id="22" w:name="supplier"/>
    <w:p>
      <w:pPr>
        <w:pStyle w:val="Heading3"/>
      </w:pPr>
      <w:r>
        <w:t xml:space="preserve">Supplier</w:t>
      </w:r>
    </w:p>
    <w:p>
      <w:pPr>
        <w:pStyle w:val="FirstParagraph"/>
      </w:pPr>
      <w:r>
        <w:rPr>
          <w:bCs/>
          <w:b/>
        </w:rPr>
        <w:t xml:space="preserve">Company:</w:t>
      </w:r>
      <w:r>
        <w:t xml:space="preserve"> </w:t>
      </w:r>
      <w:r>
        <w:t xml:space="preserve">MedDent Egypt Trading Co.</w:t>
      </w:r>
    </w:p>
    <w:p>
      <w:pPr>
        <w:pStyle w:val="BodyText"/>
      </w:pPr>
      <w:r>
        <w:rPr>
          <w:bCs/>
          <w:b/>
        </w:rPr>
        <w:t xml:space="preserve">Address:</w:t>
      </w:r>
      <w:r>
        <w:t xml:space="preserve"> </w:t>
      </w:r>
      <w:r>
        <w:t xml:space="preserve">88 El-Gomrok Industrial Zone, Egypt Alexandria</w:t>
      </w:r>
    </w:p>
    <w:p>
      <w:pPr>
        <w:pStyle w:val="BodyText"/>
      </w:pPr>
      <w:r>
        <w:rPr>
          <w:bCs/>
          <w:b/>
        </w:rPr>
        <w:t xml:space="preserve">Phone:</w:t>
      </w:r>
      <w:r>
        <w:t xml:space="preserve"> </w:t>
      </w:r>
      <w:r>
        <w:t xml:space="preserve">+20 3 489 2210</w:t>
      </w:r>
    </w:p>
    <w:p>
      <w:pPr>
        <w:pStyle w:val="BodyText"/>
      </w:pPr>
      <w:r>
        <w:rPr>
          <w:bCs/>
          <w:b/>
        </w:rPr>
        <w:t xml:space="preserve">Email:</w:t>
      </w:r>
      <w:r>
        <w:t xml:space="preserve"> </w:t>
      </w:r>
      <w:r>
        <w:t xml:space="preserve">sales@meddent-egypt.com</w:t>
      </w:r>
    </w:p>
    <w:p>
      <w:pPr>
        <w:pStyle w:val="BodyText"/>
      </w:pPr>
      <w:r>
        <w:rPr>
          <w:bCs/>
          <w:b/>
        </w:rPr>
        <w:t xml:space="preserve">Tax ID (VAT):</w:t>
      </w:r>
      <w:r>
        <w:t xml:space="preserve"> </w:t>
      </w:r>
      <w:r>
        <w:t xml:space="preserve">489-221-056-33</w:t>
      </w:r>
    </w:p>
    <w:p>
      <w:pPr>
        <w:pStyle w:val="BodyText"/>
      </w:pPr>
      <w:r>
        <w:rPr>
          <w:bCs/>
          <w:b/>
        </w:rPr>
        <w:t xml:space="preserve">Contact Person:</w:t>
      </w:r>
      <w:r>
        <w:t xml:space="preserve"> </w:t>
      </w:r>
      <w:r>
        <w:t xml:space="preserve">Eng. Hanaa Fathy, Sales Manager</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Delivery Location:</w:t>
      </w:r>
      <w:r>
        <w:t xml:space="preserve"> </w:t>
      </w:r>
      <w:r>
        <w:t xml:space="preserve">Orthodontist Clinic, Smouha, Egypt Alexandria</w:t>
      </w:r>
    </w:p>
    <w:p>
      <w:pPr>
        <w:pStyle w:val="BodyText"/>
      </w:pPr>
      <w:r>
        <w:rPr>
          <w:bCs/>
          <w:b/>
        </w:rPr>
        <w:t xml:space="preserve">Payment Terms:</w:t>
      </w:r>
      <w:r>
        <w:t xml:space="preserve"> </w:t>
      </w:r>
      <w:r>
        <w:t xml:space="preserve">50% advance, 50% upon delivery</w:t>
      </w:r>
    </w:p>
    <w:p>
      <w:pPr>
        <w:pStyle w:val="BodyText"/>
      </w:pPr>
      <w:r>
        <w:rPr>
          <w:bCs/>
          <w:b/>
        </w:rPr>
        <w:t xml:space="preserve">Currency:</w:t>
      </w:r>
      <w:r>
        <w:t xml:space="preserve"> </w:t>
      </w:r>
      <w:r>
        <w:t xml:space="preserve">Egyptian Pound (EGP)</w:t>
      </w:r>
    </w:p>
    <w:bookmarkEnd w:id="23"/>
    <w:bookmarkStart w:id="24" w:name="shipping-logistics"/>
    <w:p>
      <w:pPr>
        <w:pStyle w:val="Heading3"/>
      </w:pPr>
      <w:r>
        <w:t xml:space="preserve">Shipping &amp; Logistics</w:t>
      </w:r>
    </w:p>
    <w:p>
      <w:pPr>
        <w:pStyle w:val="FirstParagraph"/>
      </w:pPr>
      <w:r>
        <w:rPr>
          <w:bCs/>
          <w:b/>
        </w:rPr>
        <w:t xml:space="preserve">Shipping Method:</w:t>
      </w:r>
      <w:r>
        <w:t xml:space="preserve"> </w:t>
      </w:r>
      <w:r>
        <w:t xml:space="preserve">Ground freight within Egypt Alexandria</w:t>
      </w:r>
    </w:p>
    <w:p>
      <w:pPr>
        <w:pStyle w:val="BodyText"/>
      </w:pPr>
      <w:r>
        <w:rPr>
          <w:bCs/>
          <w:b/>
        </w:rPr>
        <w:t xml:space="preserve">Incoterms:</w:t>
      </w:r>
      <w:r>
        <w:t xml:space="preserve"> </w:t>
      </w:r>
      <w:r>
        <w:t xml:space="preserve">DDP (Delivered Duty Paid) – Egypt Alexandria</w:t>
      </w:r>
    </w:p>
    <w:p>
      <w:pPr>
        <w:pStyle w:val="BodyText"/>
      </w:pPr>
      <w:r>
        <w:rPr>
          <w:bCs/>
          <w:b/>
        </w:rPr>
        <w:t xml:space="preserve">Freight Cost:</w:t>
      </w:r>
      <w:r>
        <w:t xml:space="preserve"> </w:t>
      </w:r>
      <w:r>
        <w:t xml:space="preserve">Included in unit pricing</w:t>
      </w:r>
    </w:p>
    <w:p>
      <w:pPr>
        <w:pStyle w:val="BodyText"/>
      </w:pPr>
      <w:r>
        <w:rPr>
          <w:bCs/>
          <w:b/>
        </w:rPr>
        <w:t xml:space="preserve">Insurance:</w:t>
      </w:r>
      <w:r>
        <w:t xml:space="preserve"> </w:t>
      </w:r>
      <w:r>
        <w:t xml:space="preserve">Supplier to insure goods in transit</w:t>
      </w:r>
    </w:p>
    <w:bookmarkEnd w:id="24"/>
    <w:bookmarkStart w:id="26" w:name="Xed5ef7c74cebb8a3d4fcec9893559bbeaae69cf"/>
    <w:p>
      <w:pPr>
        <w:pStyle w:val="Heading2"/>
      </w:pPr>
      <w:r>
        <w:t xml:space="preserve">Itemized Purchase Order – Orthodontist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Self-ligating orthodontic brackets (0.022" slot), stainless steel – for adult and pediatric orthodontist treatment</w:t>
            </w:r>
          </w:p>
        </w:tc>
        <w:tc>
          <w:tcPr/>
          <w:p>
            <w:pPr>
              <w:pStyle w:val="Compact"/>
              <w:jc w:val="left"/>
            </w:pPr>
            <w:r>
              <w:t xml:space="preserve">SLB-022-SS</w:t>
            </w:r>
          </w:p>
        </w:tc>
        <w:tc>
          <w:tcPr/>
          <w:p>
            <w:pPr>
              <w:pStyle w:val="Compact"/>
              <w:jc w:val="left"/>
            </w:pPr>
            <w:r>
              <w:t xml:space="preserve">200</w:t>
            </w:r>
          </w:p>
        </w:tc>
        <w:tc>
          <w:tcPr/>
          <w:p>
            <w:pPr>
              <w:pStyle w:val="Compact"/>
              <w:jc w:val="left"/>
            </w:pPr>
            <w:r>
              <w:t xml:space="preserve">pcs</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2</w:t>
            </w:r>
          </w:p>
        </w:tc>
        <w:tc>
          <w:tcPr/>
          <w:p>
            <w:pPr>
              <w:pStyle w:val="Compact"/>
              <w:jc w:val="left"/>
            </w:pPr>
            <w:r>
              <w:t xml:space="preserve">NiTi archwires, 0.014" to 0.021" x 0.028", full set per patient – orthodontist standard</w:t>
            </w:r>
          </w:p>
        </w:tc>
        <w:tc>
          <w:tcPr/>
          <w:p>
            <w:pPr>
              <w:pStyle w:val="Compact"/>
              <w:jc w:val="left"/>
            </w:pPr>
            <w:r>
              <w:t xml:space="preserve">NITI-AW-SET</w:t>
            </w:r>
          </w:p>
        </w:tc>
        <w:tc>
          <w:tcPr/>
          <w:p>
            <w:pPr>
              <w:pStyle w:val="Compact"/>
              <w:jc w:val="left"/>
            </w:pPr>
            <w:r>
              <w:t xml:space="preserve">150</w:t>
            </w:r>
          </w:p>
        </w:tc>
        <w:tc>
          <w:tcPr/>
          <w:p>
            <w:pPr>
              <w:pStyle w:val="Compact"/>
              <w:jc w:val="left"/>
            </w:pPr>
            <w:r>
              <w:t xml:space="preserve">sets</w:t>
            </w:r>
          </w:p>
        </w:tc>
        <w:tc>
          <w:tcPr/>
          <w:p>
            <w:pPr>
              <w:pStyle w:val="Compact"/>
              <w:jc w:val="left"/>
            </w:pPr>
            <w:r>
              <w:t xml:space="preserve">420.00</w:t>
            </w:r>
          </w:p>
        </w:tc>
        <w:tc>
          <w:tcPr/>
          <w:p>
            <w:pPr>
              <w:pStyle w:val="Compact"/>
              <w:jc w:val="left"/>
            </w:pPr>
            <w:r>
              <w:t xml:space="preserve">63,000.00</w:t>
            </w:r>
          </w:p>
        </w:tc>
      </w:tr>
      <w:tr>
        <w:tc>
          <w:tcPr/>
          <w:p>
            <w:pPr>
              <w:pStyle w:val="Compact"/>
              <w:jc w:val="left"/>
            </w:pPr>
            <w:r>
              <w:t xml:space="preserve">3</w:t>
            </w:r>
          </w:p>
        </w:tc>
        <w:tc>
          <w:tcPr/>
          <w:p>
            <w:pPr>
              <w:pStyle w:val="Compact"/>
              <w:jc w:val="left"/>
            </w:pPr>
            <w:r>
              <w:t xml:space="preserve">Clear aligner trays (thermoplastic PETG), custom-molded for Egypt Alexandria patient base</w:t>
            </w:r>
          </w:p>
        </w:tc>
        <w:tc>
          <w:tcPr/>
          <w:p>
            <w:pPr>
              <w:pStyle w:val="Compact"/>
              <w:jc w:val="left"/>
            </w:pPr>
            <w:r>
              <w:t xml:space="preserve">CA-TRAY-PETG</w:t>
            </w:r>
          </w:p>
        </w:tc>
        <w:tc>
          <w:tcPr/>
          <w:p>
            <w:pPr>
              <w:pStyle w:val="Compact"/>
              <w:jc w:val="left"/>
            </w:pPr>
            <w:r>
              <w:t xml:space="preserve">300</w:t>
            </w:r>
          </w:p>
        </w:tc>
        <w:tc>
          <w:tcPr/>
          <w:p>
            <w:pPr>
              <w:pStyle w:val="Compact"/>
              <w:jc w:val="left"/>
            </w:pPr>
            <w:r>
              <w:t xml:space="preserve">pcs</w:t>
            </w:r>
          </w:p>
        </w:tc>
        <w:tc>
          <w:tcPr/>
          <w:p>
            <w:pPr>
              <w:pStyle w:val="Compact"/>
              <w:jc w:val="left"/>
            </w:pPr>
            <w:r>
              <w:t xml:space="preserve">310.00</w:t>
            </w:r>
          </w:p>
        </w:tc>
        <w:tc>
          <w:tcPr/>
          <w:p>
            <w:pPr>
              <w:pStyle w:val="Compact"/>
              <w:jc w:val="left"/>
            </w:pPr>
            <w:r>
              <w:t xml:space="preserve">93,000.00</w:t>
            </w:r>
          </w:p>
        </w:tc>
      </w:tr>
      <w:tr>
        <w:tc>
          <w:tcPr/>
          <w:p>
            <w:pPr>
              <w:pStyle w:val="Compact"/>
              <w:jc w:val="left"/>
            </w:pPr>
            <w:r>
              <w:t xml:space="preserve">4</w:t>
            </w:r>
          </w:p>
        </w:tc>
        <w:tc>
          <w:tcPr/>
          <w:p>
            <w:pPr>
              <w:pStyle w:val="Compact"/>
              <w:jc w:val="left"/>
            </w:pPr>
            <w:r>
              <w:t xml:space="preserve">Orthodontic elastics (power chains, 1/4" to 5/16"), assorted colors – orthodontist daily use</w:t>
            </w:r>
          </w:p>
        </w:tc>
        <w:tc>
          <w:tcPr/>
          <w:p>
            <w:pPr>
              <w:pStyle w:val="Compact"/>
              <w:jc w:val="left"/>
            </w:pPr>
            <w:r>
              <w:t xml:space="preserve">ORT-EL-ASSORT</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680.00</w:t>
            </w:r>
          </w:p>
        </w:tc>
        <w:tc>
          <w:tcPr/>
          <w:p>
            <w:pPr>
              <w:pStyle w:val="Compact"/>
              <w:jc w:val="left"/>
            </w:pPr>
            <w:r>
              <w:t xml:space="preserve">34,000.00</w:t>
            </w:r>
          </w:p>
        </w:tc>
      </w:tr>
      <w:tr>
        <w:tc>
          <w:tcPr/>
          <w:p>
            <w:pPr>
              <w:pStyle w:val="Compact"/>
              <w:jc w:val="left"/>
            </w:pPr>
            <w:r>
              <w:t xml:space="preserve">5</w:t>
            </w:r>
          </w:p>
        </w:tc>
        <w:tc>
          <w:tcPr/>
          <w:p>
            <w:pPr>
              <w:pStyle w:val="Compact"/>
              <w:jc w:val="left"/>
            </w:pPr>
            <w:r>
              <w:t xml:space="preserve">Ceramic orthodontic brackets (0.022" slot), low-profile design for aesthetic orthodontist cases</w:t>
            </w:r>
          </w:p>
        </w:tc>
        <w:tc>
          <w:tcPr/>
          <w:p>
            <w:pPr>
              <w:pStyle w:val="Compact"/>
              <w:jc w:val="left"/>
            </w:pPr>
            <w:r>
              <w:t xml:space="preserve">CERB-022-LP</w:t>
            </w:r>
          </w:p>
        </w:tc>
        <w:tc>
          <w:tcPr/>
          <w:p>
            <w:pPr>
              <w:pStyle w:val="Compact"/>
              <w:jc w:val="left"/>
            </w:pPr>
            <w:r>
              <w:t xml:space="preserve">120</w:t>
            </w:r>
          </w:p>
        </w:tc>
        <w:tc>
          <w:tcPr/>
          <w:p>
            <w:pPr>
              <w:pStyle w:val="Compact"/>
              <w:jc w:val="left"/>
            </w:pPr>
            <w:r>
              <w:t xml:space="preserve">pcs</w:t>
            </w:r>
          </w:p>
        </w:tc>
        <w:tc>
          <w:tcPr/>
          <w:p>
            <w:pPr>
              <w:pStyle w:val="Compact"/>
              <w:jc w:val="left"/>
            </w:pPr>
            <w:r>
              <w:t xml:space="preserve">295.00</w:t>
            </w:r>
          </w:p>
        </w:tc>
        <w:tc>
          <w:tcPr/>
          <w:p>
            <w:pPr>
              <w:pStyle w:val="Compact"/>
              <w:jc w:val="left"/>
            </w:pPr>
            <w:r>
              <w:t xml:space="preserve">35,400.00</w:t>
            </w:r>
          </w:p>
        </w:tc>
      </w:tr>
      <w:tr>
        <w:tc>
          <w:tcPr/>
          <w:p>
            <w:pPr>
              <w:pStyle w:val="Compact"/>
              <w:jc w:val="left"/>
            </w:pPr>
            <w:r>
              <w:t xml:space="preserve">6</w:t>
            </w:r>
          </w:p>
        </w:tc>
        <w:tc>
          <w:tcPr/>
          <w:p>
            <w:pPr>
              <w:pStyle w:val="Compact"/>
              <w:jc w:val="left"/>
            </w:pPr>
            <w:r>
              <w:t xml:space="preserve">Orthodontic bonding adhesive kit (etch, primer, composite) – 30 patient kits</w:t>
            </w:r>
          </w:p>
        </w:tc>
        <w:tc>
          <w:tcPr/>
          <w:p>
            <w:pPr>
              <w:pStyle w:val="Compact"/>
              <w:jc w:val="left"/>
            </w:pPr>
            <w:r>
              <w:t xml:space="preserve">ORT-BOND-KIT</w:t>
            </w:r>
          </w:p>
        </w:tc>
        <w:tc>
          <w:tcPr/>
          <w:p>
            <w:pPr>
              <w:pStyle w:val="Compact"/>
              <w:jc w:val="left"/>
            </w:pPr>
            <w:r>
              <w:t xml:space="preserve">30</w:t>
            </w:r>
          </w:p>
        </w:tc>
        <w:tc>
          <w:tcPr/>
          <w:p>
            <w:pPr>
              <w:pStyle w:val="Compact"/>
              <w:jc w:val="left"/>
            </w:pPr>
            <w:r>
              <w:t xml:space="preserve">kits</w:t>
            </w:r>
          </w:p>
        </w:tc>
        <w:tc>
          <w:tcPr/>
          <w:p>
            <w:pPr>
              <w:pStyle w:val="Compact"/>
              <w:jc w:val="left"/>
            </w:pPr>
            <w:r>
              <w:t xml:space="preserve">1,250.00</w:t>
            </w:r>
          </w:p>
        </w:tc>
        <w:tc>
          <w:tcPr/>
          <w:p>
            <w:pPr>
              <w:pStyle w:val="Compact"/>
              <w:jc w:val="left"/>
            </w:pPr>
            <w:r>
              <w:t xml:space="preserve">37,500.00</w:t>
            </w:r>
          </w:p>
        </w:tc>
      </w:tr>
      <w:tr>
        <w:tc>
          <w:tcPr/>
          <w:p>
            <w:pPr>
              <w:pStyle w:val="Compact"/>
              <w:jc w:val="left"/>
            </w:pPr>
            <w:r>
              <w:t xml:space="preserve">7</w:t>
            </w:r>
          </w:p>
        </w:tc>
        <w:tc>
          <w:tcPr/>
          <w:p>
            <w:pPr>
              <w:pStyle w:val="Compact"/>
              <w:jc w:val="left"/>
            </w:pPr>
            <w:r>
              <w:t xml:space="preserve">Headgear (facemask) assembly, adjustable – for orthodontist growth-modification cases</w:t>
            </w:r>
          </w:p>
        </w:tc>
        <w:tc>
          <w:tcPr/>
          <w:p>
            <w:pPr>
              <w:pStyle w:val="Compact"/>
              <w:jc w:val="left"/>
            </w:pPr>
            <w:r>
              <w:t xml:space="preserve">HG-FM-ADJ</w:t>
            </w:r>
          </w:p>
        </w:tc>
        <w:tc>
          <w:tcPr/>
          <w:p>
            <w:pPr>
              <w:pStyle w:val="Compact"/>
              <w:jc w:val="left"/>
            </w:pPr>
            <w:r>
              <w:t xml:space="preserve">25</w:t>
            </w:r>
          </w:p>
        </w:tc>
        <w:tc>
          <w:tcPr/>
          <w:p>
            <w:pPr>
              <w:pStyle w:val="Compact"/>
              <w:jc w:val="left"/>
            </w:pPr>
            <w:r>
              <w:t xml:space="preserve">units</w:t>
            </w:r>
          </w:p>
        </w:tc>
        <w:tc>
          <w:tcPr/>
          <w:p>
            <w:pPr>
              <w:pStyle w:val="Compact"/>
              <w:jc w:val="left"/>
            </w:pPr>
            <w:r>
              <w:t xml:space="preserve">2,800.00</w:t>
            </w:r>
          </w:p>
        </w:tc>
        <w:tc>
          <w:tcPr/>
          <w:p>
            <w:pPr>
              <w:pStyle w:val="Compact"/>
              <w:jc w:val="left"/>
            </w:pPr>
            <w:r>
              <w:t xml:space="preserve">70,000.00</w:t>
            </w:r>
          </w:p>
        </w:tc>
      </w:tr>
      <w:tr>
        <w:tc>
          <w:tcPr/>
          <w:p>
            <w:pPr>
              <w:pStyle w:val="Compact"/>
              <w:jc w:val="left"/>
            </w:pPr>
            <w:r>
              <w:t xml:space="preserve">8</w:t>
            </w:r>
          </w:p>
        </w:tc>
        <w:tc>
          <w:tcPr/>
          <w:p>
            <w:pPr>
              <w:pStyle w:val="Compact"/>
              <w:jc w:val="left"/>
            </w:pPr>
            <w:r>
              <w:t xml:space="preserve">Orthodontic wax and patient comfort kits (wax, scissors, mirror, instruction card in Arabic &amp; English)</w:t>
            </w:r>
          </w:p>
        </w:tc>
        <w:tc>
          <w:tcPr/>
          <w:p>
            <w:pPr>
              <w:pStyle w:val="Compact"/>
              <w:jc w:val="left"/>
            </w:pPr>
            <w:r>
              <w:t xml:space="preserve">ORT-COMF-KIT</w:t>
            </w:r>
          </w:p>
        </w:tc>
        <w:tc>
          <w:tcPr/>
          <w:p>
            <w:pPr>
              <w:pStyle w:val="Compact"/>
              <w:jc w:val="left"/>
            </w:pPr>
            <w:r>
              <w:t xml:space="preserve">200</w:t>
            </w:r>
          </w:p>
        </w:tc>
        <w:tc>
          <w:tcPr/>
          <w:p>
            <w:pPr>
              <w:pStyle w:val="Compact"/>
              <w:jc w:val="left"/>
            </w:pPr>
            <w:r>
              <w:t xml:space="preserve">kits</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9</w:t>
            </w:r>
          </w:p>
        </w:tc>
        <w:tc>
          <w:tcPr/>
          <w:p>
            <w:pPr>
              <w:pStyle w:val="Compact"/>
              <w:jc w:val="left"/>
            </w:pPr>
            <w:r>
              <w:t xml:space="preserve">Digital intraoral scanner tip (compatible with 3Shape TRIOS) – orthodontist diagnostic imaging</w:t>
            </w:r>
          </w:p>
        </w:tc>
        <w:tc>
          <w:tcPr/>
          <w:p>
            <w:pPr>
              <w:pStyle w:val="Compact"/>
              <w:jc w:val="left"/>
            </w:pPr>
            <w:r>
              <w:t xml:space="preserve">3S-TRIOS-TIP</w:t>
            </w:r>
          </w:p>
        </w:tc>
        <w:tc>
          <w:tcPr/>
          <w:p>
            <w:pPr>
              <w:pStyle w:val="Compact"/>
              <w:jc w:val="left"/>
            </w:pPr>
            <w:r>
              <w:t xml:space="preserve">2</w:t>
            </w:r>
          </w:p>
        </w:tc>
        <w:tc>
          <w:tcPr/>
          <w:p>
            <w:pPr>
              <w:pStyle w:val="Compact"/>
              <w:jc w:val="left"/>
            </w:pPr>
            <w:r>
              <w:t xml:space="preserve">pcs</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10</w:t>
            </w:r>
          </w:p>
        </w:tc>
        <w:tc>
          <w:tcPr/>
          <w:p>
            <w:pPr>
              <w:pStyle w:val="Compact"/>
              <w:jc w:val="left"/>
            </w:pPr>
            <w:r>
              <w:t xml:space="preserve">Orthodontic pliers set (ligature cutters, wire cutters, pliers) – 12-piece professional set</w:t>
            </w:r>
          </w:p>
        </w:tc>
        <w:tc>
          <w:tcPr/>
          <w:p>
            <w:pPr>
              <w:pStyle w:val="Compact"/>
              <w:jc w:val="left"/>
            </w:pPr>
            <w:r>
              <w:t xml:space="preserve">ORT-PLR-12</w:t>
            </w:r>
          </w:p>
        </w:tc>
        <w:tc>
          <w:tcPr/>
          <w:p>
            <w:pPr>
              <w:pStyle w:val="Compact"/>
              <w:jc w:val="left"/>
            </w:pPr>
            <w:r>
              <w:t xml:space="preserve">3</w:t>
            </w:r>
          </w:p>
        </w:tc>
        <w:tc>
          <w:tcPr/>
          <w:p>
            <w:pPr>
              <w:pStyle w:val="Compact"/>
              <w:jc w:val="left"/>
            </w:pPr>
            <w:r>
              <w:t xml:space="preserve">sets</w:t>
            </w:r>
          </w:p>
        </w:tc>
        <w:tc>
          <w:tcPr/>
          <w:p>
            <w:pPr>
              <w:pStyle w:val="Compact"/>
              <w:jc w:val="left"/>
            </w:pPr>
            <w:r>
              <w:t xml:space="preserve">6,200.00</w:t>
            </w:r>
          </w:p>
        </w:tc>
        <w:tc>
          <w:tcPr/>
          <w:p>
            <w:pPr>
              <w:pStyle w:val="Compact"/>
              <w:jc w:val="left"/>
            </w:pPr>
            <w:r>
              <w:t xml:space="preserve">18,600.00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594,500.00 EGP</w:t>
            </w:r>
          </w:p>
        </w:tc>
      </w:tr>
      <w:tr>
        <w:tc>
          <w:tcPr/>
          <w:p>
            <w:pPr>
              <w:pStyle w:val="Compact"/>
              <w:jc w:val="left"/>
            </w:pPr>
            <w:r>
              <w:t xml:space="preserve">VAT (14% – Egypt Alexandria standard rate)</w:t>
            </w:r>
          </w:p>
        </w:tc>
        <w:tc>
          <w:tcPr/>
          <w:p>
            <w:pPr>
              <w:pStyle w:val="Compact"/>
              <w:jc w:val="right"/>
            </w:pPr>
            <w:r>
              <w:t xml:space="preserve">83,230.00 EGP</w:t>
            </w:r>
          </w:p>
        </w:tc>
      </w:tr>
      <w:tr>
        <w:tc>
          <w:tcPr/>
          <w:p>
            <w:pPr>
              <w:pStyle w:val="Compact"/>
              <w:jc w:val="left"/>
            </w:pPr>
            <w:r>
              <w:t xml:space="preserve">Freight &amp; Handling (Egypt Alexandria local)</w:t>
            </w:r>
          </w:p>
        </w:tc>
        <w:tc>
          <w:tcPr/>
          <w:p>
            <w:pPr>
              <w:pStyle w:val="Compact"/>
              <w:jc w:val="right"/>
            </w:pPr>
            <w:r>
              <w:t xml:space="preserve">0.00 EGP</w:t>
            </w:r>
          </w:p>
        </w:tc>
      </w:tr>
      <w:tr>
        <w:tc>
          <w:tcPr/>
          <w:p>
            <w:pPr>
              <w:pStyle w:val="Compact"/>
              <w:jc w:val="left"/>
            </w:pPr>
            <w:r>
              <w:t xml:space="preserve">Grand Total</w:t>
            </w:r>
          </w:p>
        </w:tc>
        <w:tc>
          <w:tcPr/>
          <w:p>
            <w:pPr>
              <w:pStyle w:val="Compact"/>
              <w:jc w:val="right"/>
            </w:pPr>
            <w:r>
              <w:t xml:space="preserve">677,730.00 EGP</w:t>
            </w:r>
          </w:p>
        </w:tc>
      </w:tr>
    </w:tbl>
    <w:p>
      <w:pPr>
        <w:pStyle w:val="BodyText"/>
      </w:pPr>
      <w:r>
        <w:rPr>
          <w:bCs/>
          <w:b/>
        </w:rPr>
        <w:t xml:space="preserve">Note:</w:t>
      </w:r>
      <w:r>
        <w:t xml:space="preserve"> </w:t>
      </w:r>
      <w:r>
        <w:t xml:space="preserve">All orthodontic items listed in this Purchase Order must comply with the Egyptian Ministry of Health medical device registration requirements. The Orthodontist practice in Egypt Alexandria requires that all brackets, wires, and aligner materials carry valid CE marking and Egyptian regulatory approval (NRAED). The supplier shall provide certificates of conformity and material safety data sheets (MSDS) for every item upon delivery to the clinic in Smouha, Egypt Alexandria.</w:t>
      </w:r>
    </w:p>
    <w:bookmarkStart w:id="25" w:name="terms-conditions-of-this-purchase-order"/>
    <w:p>
      <w:pPr>
        <w:pStyle w:val="Heading3"/>
      </w:pPr>
      <w:r>
        <w:t xml:space="preserve">Terms &amp; Conditions of this Purchase Order</w:t>
      </w:r>
    </w:p>
    <w:p>
      <w:pPr>
        <w:numPr>
          <w:ilvl w:val="0"/>
          <w:numId w:val="1001"/>
        </w:numPr>
        <w:pStyle w:val="Compact"/>
      </w:pPr>
      <w:r>
        <w:t xml:space="preserve">This Purchase Order is issued by Dr. Mahmoud El-Sayed Orthodontic Clinic, a registered orthodontist practice operating in Egypt Alexandria, and constitutes a binding procurement request for the orthodontic supplies listed above.</w:t>
      </w:r>
    </w:p>
    <w:p>
      <w:pPr>
        <w:numPr>
          <w:ilvl w:val="0"/>
          <w:numId w:val="1001"/>
        </w:numPr>
        <w:pStyle w:val="Compact"/>
      </w:pPr>
      <w:r>
        <w:t xml:space="preserve">The supplier, MedDent Egypt Trading Co., acknowledges receipt of this Purchase Order and agrees to fulfill all line items within the stipulated delivery window of 15 June 2025 to 30 June 2025.</w:t>
      </w:r>
    </w:p>
    <w:p>
      <w:pPr>
        <w:numPr>
          <w:ilvl w:val="0"/>
          <w:numId w:val="1001"/>
        </w:numPr>
        <w:pStyle w:val="Compact"/>
      </w:pPr>
      <w:r>
        <w:t xml:space="preserve">Payment shall be made via bank transfer to the supplier's registered account in Egypt Alexandria. A 50% advance payment (338,865.00 EGP) is due within 5 business days of Purchase Order acceptance. The remaining 50% (338,865.00 EGP) is due within 10 business days of confirmed delivery and inspection at the orthodontist clinic premises.</w:t>
      </w:r>
    </w:p>
    <w:p>
      <w:pPr>
        <w:numPr>
          <w:ilvl w:val="0"/>
          <w:numId w:val="1001"/>
        </w:numPr>
        <w:pStyle w:val="Compact"/>
      </w:pPr>
      <w:r>
        <w:t xml:space="preserve">All orthodontic products must be new, unused, and within their manufacturer's shelf life. The Orthodontist practice reserves the right to reject any items that do not meet the specifications stated in this Purchase Order or that lack proper Egyptian regulatory documentation.</w:t>
      </w:r>
    </w:p>
    <w:p>
      <w:pPr>
        <w:numPr>
          <w:ilvl w:val="0"/>
          <w:numId w:val="1001"/>
        </w:numPr>
        <w:pStyle w:val="Compact"/>
      </w:pPr>
      <w:r>
        <w:t xml:space="preserve">Delivery shall be made to the Orthodontist clinic at 142 Corniche El-Nil Street, Smouha, Egypt Alexandria, between 09:00 and 14:00 on the agreed delivery date. The supplier bears all risk of loss or damage until goods are signed for by the clinic's procurement officer.</w:t>
      </w:r>
    </w:p>
    <w:p>
      <w:pPr>
        <w:numPr>
          <w:ilvl w:val="0"/>
          <w:numId w:val="1001"/>
        </w:numPr>
        <w:pStyle w:val="Compact"/>
      </w:pPr>
      <w:r>
        <w:t xml:space="preserve">In the event of partial delivery or substitution of any orthodontic item, the supplier must obtain prior written approval from the Orthodontist practice. Unauthorized substitutions will result in rejection of the affected line items and a proportional reduction in the Purchase Order total.</w:t>
      </w:r>
    </w:p>
    <w:p>
      <w:pPr>
        <w:numPr>
          <w:ilvl w:val="0"/>
          <w:numId w:val="1001"/>
        </w:numPr>
        <w:pStyle w:val="Compact"/>
      </w:pPr>
      <w:r>
        <w:t xml:space="preserve">This Purchase Order is governed by the laws of the Arab Republic of Egypt. Any disputes arising from this transaction shall be resolved through the competent commercial courts in Egypt Alexandria.</w:t>
      </w:r>
    </w:p>
    <w:p>
      <w:pPr>
        <w:numPr>
          <w:ilvl w:val="0"/>
          <w:numId w:val="1001"/>
        </w:numPr>
        <w:pStyle w:val="Compact"/>
      </w:pPr>
      <w:r>
        <w:t xml:space="preserve">The supplier warrants that all orthodontic materials comply with ISO 13485 medical device quality management standards and are suitable for clinical use by a licensed Orthodontist in Egypt Alexandria.</w:t>
      </w:r>
    </w:p>
    <w:p>
      <w:pPr>
        <w:numPr>
          <w:ilvl w:val="0"/>
          <w:numId w:val="1001"/>
        </w:numPr>
        <w:pStyle w:val="Compact"/>
      </w:pPr>
      <w:r>
        <w:t xml:space="preserve">Warranty: All orthodontic hardware (brackets, wires, pliers, headgear) carries a minimum 12-month manufacturer warranty. The supplier shall replace any defective items at no additional cost within 30 days of the Orthodontist practice reporting the defect.</w:t>
      </w:r>
    </w:p>
    <w:p>
      <w:pPr>
        <w:numPr>
          <w:ilvl w:val="0"/>
          <w:numId w:val="1001"/>
        </w:numPr>
        <w:pStyle w:val="Compact"/>
      </w:pPr>
      <w:r>
        <w:t xml:space="preserve">This Purchase Order is valid for acceptance within 7 calendar days of the issue date. Failure to confirm acceptance by 22 June 2025 shall render this Purchase Order null and void.</w:t>
      </w:r>
    </w:p>
    <w:bookmarkEnd w:id="25"/>
    <w:p>
      <w:pPr>
        <w:pStyle w:val="FirstParagraph"/>
      </w:pPr>
      <w:r>
        <w:t xml:space="preserve">Authorized by (Buyer – Orthodontist Practice)</w:t>
      </w:r>
    </w:p>
    <w:p>
      <w:pPr>
        <w:pStyle w:val="BodyText"/>
      </w:pPr>
      <w:r>
        <w:rPr>
          <w:bCs/>
          <w:b/>
        </w:rPr>
        <w:t xml:space="preserve">Dr. Mahmoud El-Sayed</w:t>
      </w:r>
      <w:r>
        <w:br/>
      </w:r>
      <w:r>
        <w:t xml:space="preserve">Orthodontist &amp; Clinic Director</w:t>
      </w:r>
      <w:r>
        <w:br/>
      </w:r>
      <w:r>
        <w:t xml:space="preserve">Egypt Alexandria</w:t>
      </w:r>
      <w:r>
        <w:br/>
      </w:r>
      <w:r>
        <w:t xml:space="preserve">Date: _______________</w:t>
      </w:r>
    </w:p>
    <w:p>
      <w:pPr>
        <w:pStyle w:val="BodyText"/>
      </w:pPr>
      <w:r>
        <w:t xml:space="preserve">Accepted by (Supplier)</w:t>
      </w:r>
    </w:p>
    <w:p>
      <w:pPr>
        <w:pStyle w:val="BodyText"/>
      </w:pPr>
      <w:r>
        <w:rPr>
          <w:bCs/>
          <w:b/>
        </w:rPr>
        <w:t xml:space="preserve">Eng. Hanaa Fathy</w:t>
      </w:r>
      <w:r>
        <w:br/>
      </w:r>
      <w:r>
        <w:t xml:space="preserve">Sales Manager, MedDent Egypt Trading Co.</w:t>
      </w:r>
      <w:r>
        <w:br/>
      </w:r>
      <w:r>
        <w:t xml:space="preserve">Egypt Alexandria</w:t>
      </w:r>
      <w:r>
        <w:br/>
      </w:r>
      <w:r>
        <w:t xml:space="preserve">Date: _______________</w:t>
      </w:r>
    </w:p>
    <w:p>
      <w:pPr>
        <w:pStyle w:val="BodyText"/>
      </w:pPr>
      <w:r>
        <w:t xml:space="preserve">Purchase Order No. AXL-ORT-2025-0472 | Dr. Mahmoud El-Sayed Orthodontic Clinic | Egypt Alexandria</w:t>
      </w:r>
    </w:p>
    <w:p>
      <w:pPr>
        <w:pStyle w:val="BodyText"/>
      </w:pPr>
      <w:r>
        <w:t xml:space="preserve">This document is generated for the Orthodontist practice in Egypt Alexandria and is valid only with original wet-ink signatures or verified digital signatures.</w:t>
      </w:r>
    </w:p>
    <w:p>
      <w:pPr>
        <w:pStyle w:val="BodyText"/>
      </w:pPr>
      <w:r>
        <w:t xml:space="preserve">Page 1 of 1 | Confidential – Procurement Document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Egypt Alexandria</dc:title>
  <dc:creator/>
  <dc:language>en</dc:language>
  <cp:keywords/>
  <dcterms:created xsi:type="dcterms:W3CDTF">2026-10-10T05:53:43Z</dcterms:created>
  <dcterms:modified xsi:type="dcterms:W3CDTF">2026-10-10T05:53:43Z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