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Al-Rafidain Orthodontic Center — Baghdad, Iraq</w:t>
      </w:r>
    </w:p>
    <w:p>
      <w:pPr>
        <w:pStyle w:val="BodyText"/>
      </w:pPr>
      <w:r>
        <w:t xml:space="preserve">PO No: ORTH-BGH-2025-0472</w:t>
      </w:r>
    </w:p>
    <w:bookmarkEnd w:id="20"/>
    <w:bookmarkStart w:id="21" w:name="buyer-orthodontist-practice"/>
    <w:p>
      <w:pPr>
        <w:pStyle w:val="Heading3"/>
      </w:pPr>
      <w:r>
        <w:t xml:space="preserve">Buyer (Orthodontist Practice)</w:t>
      </w:r>
    </w:p>
    <w:p>
      <w:pPr>
        <w:pStyle w:val="FirstParagraph"/>
      </w:pPr>
      <w:r>
        <w:rPr>
          <w:bCs/>
          <w:b/>
        </w:rPr>
        <w:t xml:space="preserve">Al-Rafidain Orthodontic Center</w:t>
      </w:r>
    </w:p>
    <w:p>
      <w:pPr>
        <w:pStyle w:val="BodyText"/>
      </w:pPr>
      <w:r>
        <w:t xml:space="preserve">Dr. Hassan Al-Mansouri, Lead Orthodontist</w:t>
      </w:r>
    </w:p>
    <w:p>
      <w:pPr>
        <w:pStyle w:val="BodyText"/>
      </w:pPr>
      <w:r>
        <w:t xml:space="preserve">142 Al-Mustansiriya Street, Al-Karada District</w:t>
      </w:r>
    </w:p>
    <w:p>
      <w:pPr>
        <w:pStyle w:val="BodyText"/>
      </w:pPr>
      <w:r>
        <w:t xml:space="preserve">Baghdad, Iraq</w:t>
      </w:r>
    </w:p>
    <w:p>
      <w:pPr>
        <w:pStyle w:val="BodyText"/>
      </w:pPr>
      <w:r>
        <w:t xml:space="preserve">Tel: +964-770-456-1234</w:t>
      </w:r>
    </w:p>
    <w:p>
      <w:pPr>
        <w:pStyle w:val="BodyText"/>
      </w:pPr>
      <w:r>
        <w:t xml:space="preserve">Email: procurement@alrafidainortho.iq</w:t>
      </w:r>
    </w:p>
    <w:p>
      <w:pPr>
        <w:pStyle w:val="BodyText"/>
      </w:pPr>
      <w:r>
        <w:t xml:space="preserve">VAT No: IQ-014-287-553</w:t>
      </w:r>
    </w:p>
    <w:bookmarkEnd w:id="21"/>
    <w:bookmarkStart w:id="22" w:name="supplier"/>
    <w:p>
      <w:pPr>
        <w:pStyle w:val="Heading3"/>
      </w:pPr>
      <w:r>
        <w:t xml:space="preserve">Supplier</w:t>
      </w:r>
    </w:p>
    <w:p>
      <w:pPr>
        <w:pStyle w:val="FirstParagraph"/>
      </w:pPr>
      <w:r>
        <w:rPr>
          <w:bCs/>
          <w:b/>
        </w:rPr>
        <w:t xml:space="preserve">MedDental Supply Co. Ltd.</w:t>
      </w:r>
    </w:p>
    <w:p>
      <w:pPr>
        <w:pStyle w:val="BodyText"/>
      </w:pPr>
      <w:r>
        <w:t xml:space="preserve">Attn: Mr. Karim Al-Jubouri, Sales Manager</w:t>
      </w:r>
    </w:p>
    <w:p>
      <w:pPr>
        <w:pStyle w:val="BodyText"/>
      </w:pPr>
      <w:r>
        <w:t xml:space="preserve">Industrial Zone, Al-Mansour District</w:t>
      </w:r>
    </w:p>
    <w:p>
      <w:pPr>
        <w:pStyle w:val="BodyText"/>
      </w:pPr>
      <w:r>
        <w:t xml:space="preserve">Baghdad, Iraq</w:t>
      </w:r>
    </w:p>
    <w:p>
      <w:pPr>
        <w:pStyle w:val="BodyText"/>
      </w:pPr>
      <w:r>
        <w:t xml:space="preserve">Tel: +964-781-234-5678</w:t>
      </w:r>
    </w:p>
    <w:p>
      <w:pPr>
        <w:pStyle w:val="BodyText"/>
      </w:pPr>
      <w:r>
        <w:t xml:space="preserve">Email: orders@meddental.iq</w:t>
      </w:r>
    </w:p>
    <w:p>
      <w:pPr>
        <w:pStyle w:val="BodyText"/>
      </w:pPr>
      <w:r>
        <w:t xml:space="preserve">Commercial Reg: IQ-CR-2019-8841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w:t>
      </w:r>
      <w:r>
        <w:t xml:space="preserve"> </w:t>
      </w:r>
      <w:r>
        <w:t xml:space="preserve">30 June 2025</w:t>
      </w:r>
    </w:p>
    <w:p>
      <w:pPr>
        <w:pStyle w:val="BodyText"/>
      </w:pPr>
      <w:r>
        <w:rPr>
          <w:bCs/>
          <w:b/>
        </w:rPr>
        <w:t xml:space="preserve">Delivery Address:</w:t>
      </w:r>
      <w:r>
        <w:t xml:space="preserve"> </w:t>
      </w:r>
      <w:r>
        <w:t xml:space="preserve">Al-Rafidain Orthodontic Center, Al-Karada, Baghdad, Iraq</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Iraqi Dinar (IQD)</w:t>
      </w:r>
    </w:p>
    <w:p>
      <w:pPr>
        <w:pStyle w:val="BodyText"/>
      </w:pPr>
      <w:r>
        <w:rPr>
          <w:bCs/>
          <w:b/>
        </w:rPr>
        <w:t xml:space="preserve">Incoterms:</w:t>
      </w:r>
      <w:r>
        <w:t xml:space="preserve"> </w:t>
      </w:r>
      <w:r>
        <w:t xml:space="preserve">DDP Baghdad</w:t>
      </w:r>
    </w:p>
    <w:bookmarkEnd w:id="23"/>
    <w:bookmarkStart w:id="25" w:name="X680bf952273936e10ca07fcd7199cddbf02ff05"/>
    <w:p>
      <w:pPr>
        <w:pStyle w:val="Heading2"/>
      </w:pPr>
      <w:r>
        <w:t xml:space="preserve">Line Items — Orthodontic Equipment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Part / Ref No.</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Total (IQD)</w:t>
            </w:r>
          </w:p>
        </w:tc>
        <w:tc>
          <w:tcPr/>
          <w:p>
            <w:pPr>
              <w:pStyle w:val="Compact"/>
              <w:jc w:val="left"/>
            </w:pPr>
            <w:r>
              <w:t xml:space="preserve">Unit</w:t>
            </w:r>
          </w:p>
        </w:tc>
      </w:tr>
      <w:tr>
        <w:tc>
          <w:tcPr/>
          <w:p>
            <w:pPr>
              <w:pStyle w:val="Compact"/>
              <w:jc w:val="left"/>
            </w:pPr>
            <w:r>
              <w:t xml:space="preserve">1</w:t>
            </w:r>
          </w:p>
        </w:tc>
        <w:tc>
          <w:tcPr/>
          <w:p>
            <w:pPr>
              <w:pStyle w:val="Compact"/>
              <w:jc w:val="left"/>
            </w:pPr>
            <w:r>
              <w:t xml:space="preserve">Self-ligating orthodontic bracket system (ceramic, 0.022" slot) — complete arch set for upper and lower jaw</w:t>
            </w:r>
          </w:p>
        </w:tc>
        <w:tc>
          <w:tcPr/>
          <w:p>
            <w:pPr>
              <w:pStyle w:val="Compact"/>
              <w:jc w:val="left"/>
            </w:pPr>
            <w:r>
              <w:t xml:space="preserve">SLB-CER-022</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c>
          <w:tcPr/>
          <w:p>
            <w:pPr>
              <w:pStyle w:val="Compact"/>
              <w:jc w:val="left"/>
            </w:pPr>
            <w:r>
              <w:t xml:space="preserve">Set</w:t>
            </w:r>
          </w:p>
        </w:tc>
      </w:tr>
      <w:tr>
        <w:tc>
          <w:tcPr/>
          <w:p>
            <w:pPr>
              <w:pStyle w:val="Compact"/>
              <w:jc w:val="left"/>
            </w:pPr>
            <w:r>
              <w:t xml:space="preserve">2</w:t>
            </w:r>
          </w:p>
        </w:tc>
        <w:tc>
          <w:tcPr/>
          <w:p>
            <w:pPr>
              <w:pStyle w:val="Compact"/>
              <w:jc w:val="left"/>
            </w:pPr>
            <w:r>
              <w:t xml:space="preserve">NiTi archwires, rectangular 0.014" x 0.025", 18-inch length, for orthodontic treatment in Baghdad clinic</w:t>
            </w:r>
          </w:p>
        </w:tc>
        <w:tc>
          <w:tcPr/>
          <w:p>
            <w:pPr>
              <w:pStyle w:val="Compact"/>
              <w:jc w:val="left"/>
            </w:pPr>
            <w:r>
              <w:t xml:space="preserve">NITI-R-014-025</w:t>
            </w:r>
          </w:p>
        </w:tc>
        <w:tc>
          <w:tcPr/>
          <w:p>
            <w:pPr>
              <w:pStyle w:val="Compact"/>
              <w:jc w:val="left"/>
            </w:pPr>
            <w:r>
              <w:t xml:space="preserve">500</w:t>
            </w:r>
          </w:p>
        </w:tc>
        <w:tc>
          <w:tcPr/>
          <w:p>
            <w:pPr>
              <w:pStyle w:val="Compact"/>
              <w:jc w:val="left"/>
            </w:pPr>
            <w:r>
              <w:t xml:space="preserve">8,500</w:t>
            </w:r>
          </w:p>
        </w:tc>
        <w:tc>
          <w:tcPr/>
          <w:p>
            <w:pPr>
              <w:pStyle w:val="Compact"/>
              <w:jc w:val="left"/>
            </w:pPr>
            <w:r>
              <w:t xml:space="preserve">4,250,000</w:t>
            </w:r>
          </w:p>
        </w:tc>
        <w:tc>
          <w:tcPr/>
          <w:p>
            <w:pPr>
              <w:pStyle w:val="Compact"/>
              <w:jc w:val="left"/>
            </w:pPr>
            <w:r>
              <w:t xml:space="preserve">Piece</w:t>
            </w:r>
          </w:p>
        </w:tc>
      </w:tr>
      <w:tr>
        <w:tc>
          <w:tcPr/>
          <w:p>
            <w:pPr>
              <w:pStyle w:val="Compact"/>
              <w:jc w:val="left"/>
            </w:pPr>
            <w:r>
              <w:t xml:space="preserve">3</w:t>
            </w:r>
          </w:p>
        </w:tc>
        <w:tc>
          <w:tcPr/>
          <w:p>
            <w:pPr>
              <w:pStyle w:val="Compact"/>
              <w:jc w:val="left"/>
            </w:pPr>
            <w:r>
              <w:t xml:space="preserve">Orthodontic elastic ligatures, assorted colors, 12-gauge, 500 per pack</w:t>
            </w:r>
          </w:p>
        </w:tc>
        <w:tc>
          <w:tcPr/>
          <w:p>
            <w:pPr>
              <w:pStyle w:val="Compact"/>
              <w:jc w:val="left"/>
            </w:pPr>
            <w:r>
              <w:t xml:space="preserve">ELC-12G-500</w:t>
            </w:r>
          </w:p>
        </w:tc>
        <w:tc>
          <w:tcPr/>
          <w:p>
            <w:pPr>
              <w:pStyle w:val="Compact"/>
              <w:jc w:val="left"/>
            </w:pPr>
            <w:r>
              <w:t xml:space="preserve">100</w:t>
            </w:r>
          </w:p>
        </w:tc>
        <w:tc>
          <w:tcPr/>
          <w:p>
            <w:pPr>
              <w:pStyle w:val="Compact"/>
              <w:jc w:val="left"/>
            </w:pPr>
            <w:r>
              <w:t xml:space="preserve">12,000</w:t>
            </w:r>
          </w:p>
        </w:tc>
        <w:tc>
          <w:tcPr/>
          <w:p>
            <w:pPr>
              <w:pStyle w:val="Compact"/>
              <w:jc w:val="left"/>
            </w:pPr>
            <w:r>
              <w:t xml:space="preserve">1,200,000</w:t>
            </w:r>
          </w:p>
        </w:tc>
        <w:tc>
          <w:tcPr/>
          <w:p>
            <w:pPr>
              <w:pStyle w:val="Compact"/>
              <w:jc w:val="left"/>
            </w:pPr>
            <w:r>
              <w:t xml:space="preserve">Pack</w:t>
            </w:r>
          </w:p>
        </w:tc>
      </w:tr>
      <w:tr>
        <w:tc>
          <w:tcPr/>
          <w:p>
            <w:pPr>
              <w:pStyle w:val="Compact"/>
              <w:jc w:val="left"/>
            </w:pPr>
            <w:r>
              <w:t xml:space="preserve">4</w:t>
            </w:r>
          </w:p>
        </w:tc>
        <w:tc>
          <w:tcPr/>
          <w:p>
            <w:pPr>
              <w:pStyle w:val="Compact"/>
              <w:jc w:val="left"/>
            </w:pPr>
            <w:r>
              <w:t xml:space="preserve">Orthodontic bonding agent kit (etch, primer, adhesive) — for bracket placement by the orthodontist team</w:t>
            </w:r>
          </w:p>
        </w:tc>
        <w:tc>
          <w:tcPr/>
          <w:p>
            <w:pPr>
              <w:pStyle w:val="Compact"/>
              <w:jc w:val="left"/>
            </w:pPr>
            <w:r>
              <w:t xml:space="preserve">BND-KIT-PRO</w:t>
            </w:r>
          </w:p>
        </w:tc>
        <w:tc>
          <w:tcPr/>
          <w:p>
            <w:pPr>
              <w:pStyle w:val="Compact"/>
              <w:jc w:val="left"/>
            </w:pPr>
            <w:r>
              <w:t xml:space="preserve">50</w:t>
            </w:r>
          </w:p>
        </w:tc>
        <w:tc>
          <w:tcPr/>
          <w:p>
            <w:pPr>
              <w:pStyle w:val="Compact"/>
              <w:jc w:val="left"/>
            </w:pPr>
            <w:r>
              <w:t xml:space="preserve">35,000</w:t>
            </w:r>
          </w:p>
        </w:tc>
        <w:tc>
          <w:tcPr/>
          <w:p>
            <w:pPr>
              <w:pStyle w:val="Compact"/>
              <w:jc w:val="left"/>
            </w:pPr>
            <w:r>
              <w:t xml:space="preserve">1,750,000</w:t>
            </w:r>
          </w:p>
        </w:tc>
        <w:tc>
          <w:tcPr/>
          <w:p>
            <w:pPr>
              <w:pStyle w:val="Compact"/>
              <w:jc w:val="left"/>
            </w:pPr>
            <w:r>
              <w:t xml:space="preserve">Kit</w:t>
            </w:r>
          </w:p>
        </w:tc>
      </w:tr>
      <w:tr>
        <w:tc>
          <w:tcPr/>
          <w:p>
            <w:pPr>
              <w:pStyle w:val="Compact"/>
              <w:jc w:val="left"/>
            </w:pPr>
            <w:r>
              <w:t xml:space="preserve">5</w:t>
            </w:r>
          </w:p>
        </w:tc>
        <w:tc>
          <w:tcPr/>
          <w:p>
            <w:pPr>
              <w:pStyle w:val="Compact"/>
              <w:jc w:val="left"/>
            </w:pPr>
            <w:r>
              <w:t xml:space="preserve">Digital intraoral scanner, 3D imaging compatible with orthodontic treatment planning software</w:t>
            </w:r>
          </w:p>
        </w:tc>
        <w:tc>
          <w:tcPr/>
          <w:p>
            <w:pPr>
              <w:pStyle w:val="Compact"/>
              <w:jc w:val="left"/>
            </w:pPr>
            <w:r>
              <w:t xml:space="preserve">DIG-ISC-3D</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Unit</w:t>
            </w:r>
          </w:p>
        </w:tc>
      </w:tr>
      <w:tr>
        <w:tc>
          <w:tcPr/>
          <w:p>
            <w:pPr>
              <w:pStyle w:val="Compact"/>
              <w:jc w:val="left"/>
            </w:pPr>
            <w:r>
              <w:t xml:space="preserve">6</w:t>
            </w:r>
          </w:p>
        </w:tc>
        <w:tc>
          <w:tcPr/>
          <w:p>
            <w:pPr>
              <w:pStyle w:val="Compact"/>
              <w:jc w:val="left"/>
            </w:pPr>
            <w:r>
              <w:t xml:space="preserve">Orthodontic forceps and pliers set (12-piece professional set for the orthodontist)</w:t>
            </w:r>
          </w:p>
        </w:tc>
        <w:tc>
          <w:tcPr/>
          <w:p>
            <w:pPr>
              <w:pStyle w:val="Compact"/>
              <w:jc w:val="left"/>
            </w:pPr>
            <w:r>
              <w:t xml:space="preserve">ORT-FPS-12</w:t>
            </w:r>
          </w:p>
        </w:tc>
        <w:tc>
          <w:tcPr/>
          <w:p>
            <w:pPr>
              <w:pStyle w:val="Compact"/>
              <w:jc w:val="left"/>
            </w:pPr>
            <w:r>
              <w:t xml:space="preserve">5</w:t>
            </w:r>
          </w:p>
        </w:tc>
        <w:tc>
          <w:tcPr/>
          <w:p>
            <w:pPr>
              <w:pStyle w:val="Compact"/>
              <w:jc w:val="left"/>
            </w:pPr>
            <w:r>
              <w:t xml:space="preserve">280,000</w:t>
            </w:r>
          </w:p>
        </w:tc>
        <w:tc>
          <w:tcPr/>
          <w:p>
            <w:pPr>
              <w:pStyle w:val="Compact"/>
              <w:jc w:val="left"/>
            </w:pPr>
            <w:r>
              <w:t xml:space="preserve">1,400,000</w:t>
            </w:r>
          </w:p>
        </w:tc>
        <w:tc>
          <w:tcPr/>
          <w:p>
            <w:pPr>
              <w:pStyle w:val="Compact"/>
              <w:jc w:val="left"/>
            </w:pPr>
            <w:r>
              <w:t xml:space="preserve">Set</w:t>
            </w:r>
          </w:p>
        </w:tc>
      </w:tr>
      <w:tr>
        <w:tc>
          <w:tcPr/>
          <w:p>
            <w:pPr>
              <w:pStyle w:val="Compact"/>
              <w:jc w:val="left"/>
            </w:pPr>
            <w:r>
              <w:t xml:space="preserve">7</w:t>
            </w:r>
          </w:p>
        </w:tc>
        <w:tc>
          <w:tcPr/>
          <w:p>
            <w:pPr>
              <w:pStyle w:val="Compact"/>
              <w:jc w:val="left"/>
            </w:pPr>
            <w:r>
              <w:t xml:space="preserve">Patient comfort kit: orthodontic wax, mouthguard, and aftercare instructions (Arabic and English)</w:t>
            </w:r>
          </w:p>
        </w:tc>
        <w:tc>
          <w:tcPr/>
          <w:p>
            <w:pPr>
              <w:pStyle w:val="Compact"/>
              <w:jc w:val="left"/>
            </w:pPr>
            <w:r>
              <w:t xml:space="preserve">PTC-COMF-01</w:t>
            </w:r>
          </w:p>
        </w:tc>
        <w:tc>
          <w:tcPr/>
          <w:p>
            <w:pPr>
              <w:pStyle w:val="Compact"/>
              <w:jc w:val="left"/>
            </w:pPr>
            <w:r>
              <w:t xml:space="preserve">1,000</w:t>
            </w:r>
          </w:p>
        </w:tc>
        <w:tc>
          <w:tcPr/>
          <w:p>
            <w:pPr>
              <w:pStyle w:val="Compact"/>
              <w:jc w:val="left"/>
            </w:pPr>
            <w:r>
              <w:t xml:space="preserve">3,500</w:t>
            </w:r>
          </w:p>
        </w:tc>
        <w:tc>
          <w:tcPr/>
          <w:p>
            <w:pPr>
              <w:pStyle w:val="Compact"/>
              <w:jc w:val="left"/>
            </w:pPr>
            <w:r>
              <w:t xml:space="preserve">3,500,000</w:t>
            </w:r>
          </w:p>
        </w:tc>
        <w:tc>
          <w:tcPr/>
          <w:p>
            <w:pPr>
              <w:pStyle w:val="Compact"/>
              <w:jc w:val="left"/>
            </w:pPr>
            <w:r>
              <w:t xml:space="preserve">Kit</w:t>
            </w:r>
          </w:p>
        </w:tc>
      </w:tr>
      <w:tr>
        <w:tc>
          <w:tcPr/>
          <w:p>
            <w:pPr>
              <w:pStyle w:val="Compact"/>
              <w:jc w:val="left"/>
            </w:pPr>
            <w:r>
              <w:t xml:space="preserve">8</w:t>
            </w:r>
          </w:p>
        </w:tc>
        <w:tc>
          <w:tcPr/>
          <w:p>
            <w:pPr>
              <w:pStyle w:val="Compact"/>
              <w:jc w:val="left"/>
            </w:pPr>
            <w:r>
              <w:t xml:space="preserve">Orthodontic headgear and face-bow assembly, adjustable, for Class II correction in pediatric patients</w:t>
            </w:r>
          </w:p>
        </w:tc>
        <w:tc>
          <w:tcPr/>
          <w:p>
            <w:pPr>
              <w:pStyle w:val="Compact"/>
              <w:jc w:val="left"/>
            </w:pPr>
            <w:r>
              <w:t xml:space="preserve">ORT-HG-ADJ</w:t>
            </w:r>
          </w:p>
        </w:tc>
        <w:tc>
          <w:tcPr/>
          <w:p>
            <w:pPr>
              <w:pStyle w:val="Compact"/>
              <w:jc w:val="left"/>
            </w:pPr>
            <w:r>
              <w:t xml:space="preserve">30</w:t>
            </w:r>
          </w:p>
        </w:tc>
        <w:tc>
          <w:tcPr/>
          <w:p>
            <w:pPr>
              <w:pStyle w:val="Compact"/>
              <w:jc w:val="left"/>
            </w:pPr>
            <w:r>
              <w:t xml:space="preserve">95,000</w:t>
            </w:r>
          </w:p>
        </w:tc>
        <w:tc>
          <w:tcPr/>
          <w:p>
            <w:pPr>
              <w:pStyle w:val="Compact"/>
              <w:jc w:val="left"/>
            </w:pPr>
            <w:r>
              <w:t xml:space="preserve">2,850,000</w:t>
            </w:r>
          </w:p>
        </w:tc>
        <w:tc>
          <w:tcPr/>
          <w:p>
            <w:pPr>
              <w:pStyle w:val="Compact"/>
              <w:jc w:val="left"/>
            </w:pPr>
            <w:r>
              <w:t xml:space="preserve">Unit</w:t>
            </w:r>
          </w:p>
        </w:tc>
      </w:tr>
      <w:tr>
        <w:tc>
          <w:tcPr/>
          <w:p>
            <w:pPr>
              <w:pStyle w:val="Compact"/>
              <w:jc w:val="left"/>
            </w:pPr>
            <w:r>
              <w:t xml:space="preserve">9</w:t>
            </w:r>
          </w:p>
        </w:tc>
        <w:tc>
          <w:tcPr/>
          <w:p>
            <w:pPr>
              <w:pStyle w:val="Compact"/>
              <w:jc w:val="left"/>
            </w:pPr>
            <w:r>
              <w:t xml:space="preserve">CBCT (Cone Beam CT) imaging software license — 5-year subscription for orthodontic diagnosis in Baghdad</w:t>
            </w:r>
          </w:p>
        </w:tc>
        <w:tc>
          <w:tcPr/>
          <w:p>
            <w:pPr>
              <w:pStyle w:val="Compact"/>
              <w:jc w:val="left"/>
            </w:pPr>
            <w:r>
              <w:t xml:space="preserve">CBCT-SW-5Y</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License</w:t>
            </w:r>
          </w:p>
        </w:tc>
      </w:tr>
      <w:tr>
        <w:tc>
          <w:tcPr/>
          <w:p>
            <w:pPr>
              <w:pStyle w:val="Compact"/>
              <w:jc w:val="left"/>
            </w:pPr>
            <w:r>
              <w:t xml:space="preserve">10</w:t>
            </w:r>
          </w:p>
        </w:tc>
        <w:tc>
          <w:tcPr/>
          <w:p>
            <w:pPr>
              <w:pStyle w:val="Compact"/>
              <w:jc w:val="left"/>
            </w:pPr>
            <w:r>
              <w:t xml:space="preserve">Autoclave sterilizer, 25L capacity, for instrument sterilization in the orthodontist clinic</w:t>
            </w:r>
          </w:p>
        </w:tc>
        <w:tc>
          <w:tcPr/>
          <w:p>
            <w:pPr>
              <w:pStyle w:val="Compact"/>
              <w:jc w:val="left"/>
            </w:pPr>
            <w:r>
              <w:t xml:space="preserve">ACL-25L-PRO</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Unit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169,450,000 IQD</w:t>
            </w:r>
          </w:p>
        </w:tc>
      </w:tr>
      <w:tr>
        <w:tc>
          <w:tcPr/>
          <w:p>
            <w:pPr>
              <w:pStyle w:val="Compact"/>
              <w:jc w:val="left"/>
            </w:pPr>
            <w:r>
              <w:t xml:space="preserve">VAT (5% — Iraq Standard Rate)</w:t>
            </w:r>
          </w:p>
        </w:tc>
        <w:tc>
          <w:tcPr/>
          <w:p>
            <w:pPr>
              <w:pStyle w:val="Compact"/>
              <w:jc w:val="right"/>
            </w:pPr>
            <w:r>
              <w:t xml:space="preserve">8,472,500 IQD</w:t>
            </w:r>
          </w:p>
        </w:tc>
      </w:tr>
      <w:tr>
        <w:tc>
          <w:tcPr/>
          <w:p>
            <w:pPr>
              <w:pStyle w:val="Compact"/>
              <w:jc w:val="left"/>
            </w:pPr>
            <w:r>
              <w:t xml:space="preserve">Local Delivery &amp; Installation (Baghdad)</w:t>
            </w:r>
          </w:p>
        </w:tc>
        <w:tc>
          <w:tcPr/>
          <w:p>
            <w:pPr>
              <w:pStyle w:val="Compact"/>
              <w:jc w:val="right"/>
            </w:pPr>
            <w:r>
              <w:t xml:space="preserve">2,500,000 IQD</w:t>
            </w:r>
          </w:p>
        </w:tc>
      </w:tr>
      <w:tr>
        <w:tc>
          <w:tcPr/>
          <w:p>
            <w:pPr>
              <w:pStyle w:val="Compact"/>
              <w:jc w:val="left"/>
            </w:pPr>
            <w:r>
              <w:t xml:space="preserve">Grand Total</w:t>
            </w:r>
          </w:p>
        </w:tc>
        <w:tc>
          <w:tcPr/>
          <w:p>
            <w:pPr>
              <w:pStyle w:val="Compact"/>
              <w:jc w:val="right"/>
            </w:pPr>
            <w:r>
              <w:t xml:space="preserve">180,422,500 IQD</w:t>
            </w:r>
          </w:p>
        </w:tc>
      </w:tr>
    </w:tbl>
    <w:bookmarkStart w:id="24" w:name="terms-and-conditions"/>
    <w:p>
      <w:pPr>
        <w:pStyle w:val="Heading3"/>
      </w:pPr>
      <w:r>
        <w:t xml:space="preserve">Terms and Conditions</w:t>
      </w:r>
    </w:p>
    <w:p>
      <w:pPr>
        <w:numPr>
          <w:ilvl w:val="0"/>
          <w:numId w:val="1001"/>
        </w:numPr>
        <w:pStyle w:val="Compact"/>
      </w:pPr>
      <w:r>
        <w:t xml:space="preserve">This Purchase Order is issued by Al-Rafidain Orthodontic Center, a licensed orthodontist practice operating in Baghdad, Iraq, and is governed by the commercial laws of the Republic of Iraq.</w:t>
      </w:r>
    </w:p>
    <w:p>
      <w:pPr>
        <w:numPr>
          <w:ilvl w:val="0"/>
          <w:numId w:val="1001"/>
        </w:numPr>
        <w:pStyle w:val="Compact"/>
      </w:pPr>
      <w:r>
        <w:t xml:space="preserve">All orthodontic equipment and materials listed above must comply with the Iraqi Ministry of Health medical device registration requirements and must carry valid CE or FDA certification prior to delivery.</w:t>
      </w:r>
    </w:p>
    <w:p>
      <w:pPr>
        <w:numPr>
          <w:ilvl w:val="0"/>
          <w:numId w:val="1001"/>
        </w:numPr>
        <w:pStyle w:val="Compact"/>
      </w:pPr>
      <w:r>
        <w:t xml:space="preserve">Delivery shall be made to the orthodontist clinic premises at Al-Mustansiriya Street, Al-Karada District, Baghdad, Iraq. The supplier is responsible for all transportation, customs clearance (if applicable for imported components), and installation within the city of Baghdad.</w:t>
      </w:r>
    </w:p>
    <w:p>
      <w:pPr>
        <w:numPr>
          <w:ilvl w:val="0"/>
          <w:numId w:val="1001"/>
        </w:numPr>
        <w:pStyle w:val="Compact"/>
      </w:pPr>
      <w:r>
        <w:t xml:space="preserve">Payment shall be made via bank transfer to the supplier's designated account within Baghdad within thirty (30) calendar days of the date of invoice, provided all goods have been inspected and accepted by the lead orthodontist, Dr. Hassan Al-Mansouri.</w:t>
      </w:r>
    </w:p>
    <w:p>
      <w:pPr>
        <w:numPr>
          <w:ilvl w:val="0"/>
          <w:numId w:val="1001"/>
        </w:numPr>
        <w:pStyle w:val="Compact"/>
      </w:pPr>
      <w:r>
        <w:t xml:space="preserve">The supplier warrants that all orthodontic brackets, wires, and instruments are new, unused, and free from defects. A minimum two-year warranty is required on all capital equipment (digital scanner, CBCT software, autoclave).</w:t>
      </w:r>
    </w:p>
    <w:p>
      <w:pPr>
        <w:numPr>
          <w:ilvl w:val="0"/>
          <w:numId w:val="1001"/>
        </w:numPr>
        <w:pStyle w:val="Compact"/>
      </w:pPr>
      <w:r>
        <w:t xml:space="preserve">Any discrepancy in quantity, quality, or specification of the orthodontic items upon delivery must be reported in writing within five (5) business days. The supplier shall replace non-conforming items at no additional cost within ten (10) business days.</w:t>
      </w:r>
    </w:p>
    <w:p>
      <w:pPr>
        <w:numPr>
          <w:ilvl w:val="0"/>
          <w:numId w:val="1001"/>
        </w:numPr>
        <w:pStyle w:val="Compact"/>
      </w:pPr>
      <w:r>
        <w:t xml:space="preserve">This Purchase Order is valid for acceptance within fourteen (14) days of the issue date. Failure to confirm acceptance by the supplier within this period shall render this order null and void.</w:t>
      </w:r>
    </w:p>
    <w:p>
      <w:pPr>
        <w:numPr>
          <w:ilvl w:val="0"/>
          <w:numId w:val="1001"/>
        </w:numPr>
        <w:pStyle w:val="Compact"/>
      </w:pPr>
      <w:r>
        <w:t xml:space="preserve">All communications regarding this Purchase Order shall be directed to the procurement office of Al-Rafidain Orthodontic Center in Baghdad, Iraq, via the email address specified above.</w:t>
      </w:r>
    </w:p>
    <w:p>
      <w:pPr>
        <w:numPr>
          <w:ilvl w:val="0"/>
          <w:numId w:val="1001"/>
        </w:numPr>
        <w:pStyle w:val="Compact"/>
      </w:pPr>
      <w:r>
        <w:t xml:space="preserve">In the event of any dispute arising from this Purchase Order, both parties agree to first attempt resolution through amicable negotiation in Baghdad. Should negotiation fail, the matter shall be referred to the competent commercial court in Baghdad, Iraq.</w:t>
      </w:r>
    </w:p>
    <w:bookmarkEnd w:id="24"/>
    <w:p>
      <w:pPr>
        <w:pStyle w:val="FirstParagraph"/>
      </w:pPr>
      <w:r>
        <w:rPr>
          <w:bCs/>
          <w:b/>
        </w:rPr>
        <w:t xml:space="preserve">Authorized by (Buyer / Orthodontist)</w:t>
      </w:r>
    </w:p>
    <w:p>
      <w:pPr>
        <w:pStyle w:val="BodyText"/>
      </w:pPr>
      <w:r>
        <w:t xml:space="preserve">Dr. Hassan Al-Mansouri</w:t>
      </w:r>
      <w:r>
        <w:br/>
      </w:r>
      <w:r>
        <w:t xml:space="preserve">Lead Orthodontist, Al-Rafidain Orthodontic Center</w:t>
      </w:r>
      <w:r>
        <w:br/>
      </w:r>
      <w:r>
        <w:t xml:space="preserve">Baghdad, Iraq</w:t>
      </w:r>
      <w:r>
        <w:br/>
      </w:r>
      <w:r>
        <w:t xml:space="preserve">Date: _______________</w:t>
      </w:r>
    </w:p>
    <w:p>
      <w:pPr>
        <w:pStyle w:val="BodyText"/>
      </w:pPr>
      <w:r>
        <w:rPr>
          <w:bCs/>
          <w:b/>
        </w:rPr>
        <w:t xml:space="preserve">Accepted by (Supplier)</w:t>
      </w:r>
    </w:p>
    <w:p>
      <w:pPr>
        <w:pStyle w:val="BodyText"/>
      </w:pPr>
      <w:r>
        <w:t xml:space="preserve">Mr. Karim Al-Jubouri</w:t>
      </w:r>
      <w:r>
        <w:br/>
      </w:r>
      <w:r>
        <w:t xml:space="preserve">Sales Manager, MedDental Supply Co. Ltd.</w:t>
      </w:r>
      <w:r>
        <w:br/>
      </w:r>
      <w:r>
        <w:t xml:space="preserve">Baghdad, Iraq</w:t>
      </w:r>
      <w:r>
        <w:br/>
      </w:r>
      <w:r>
        <w:t xml:space="preserve">Date: _______________</w:t>
      </w:r>
    </w:p>
    <w:p>
      <w:pPr>
        <w:pStyle w:val="BodyText"/>
      </w:pPr>
      <w:r>
        <w:t xml:space="preserve">This Purchase Order (ORTH-BGH-2025-0472) was generated for the orthodontist practice of Al-Rafidain Orthodontic Center, Baghdad, Iraq. All transactions are subject to Iraqi commercial and tax regulations. For inquiries, contact the procurement department at procurement@alrafidainortho.iq or visit the clinic at 142 Al-Mustansiriya Street, Al-Karada, Baghdad, Iraq.</w:t>
      </w:r>
    </w:p>
    <w:p>
      <w:pPr>
        <w:pStyle w:val="BodyText"/>
      </w:pPr>
      <w:r>
        <w:t xml:space="preserve">© 2025 Al-Rafidain Orthodontic Center. All rights reserved. Document reference: PO-ORTH-BGH-2025-0472.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 Iraq Baghdad</dc:title>
  <dc:creator/>
  <dc:language>en</dc:language>
  <cp:keywords/>
  <dcterms:created xsi:type="dcterms:W3CDTF">2026-10-10T04:20:31Z</dcterms:created>
  <dcterms:modified xsi:type="dcterms:W3CDTF">2026-10-10T04:20:31Z</dcterms:modified>
</cp:coreProperties>
</file>

<file path=docProps/custom.xml><?xml version="1.0" encoding="utf-8"?>
<Properties xmlns="http://schemas.openxmlformats.org/officeDocument/2006/custom-properties" xmlns:vt="http://schemas.openxmlformats.org/officeDocument/2006/docPropsVTypes"/>
</file>