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rPr>
          <w:bCs/>
          <w:b/>
        </w:rPr>
        <w:t xml:space="preserve">Studio Ortodontico Dott.ssa Maria Concetta Ferraro</w:t>
      </w:r>
    </w:p>
    <w:p>
      <w:pPr>
        <w:pStyle w:val="BodyText"/>
      </w:pPr>
      <w:r>
        <w:t xml:space="preserve">Via Toledo 142, 80132 Napoli (NA), Italy Naples</w:t>
      </w:r>
    </w:p>
    <w:p>
      <w:pPr>
        <w:pStyle w:val="BodyText"/>
      </w:pPr>
      <w:r>
        <w:t xml:space="preserve">Phone: +39 081 554 7821 | Email: ordini@studioferraro-napoli.it | P.IVA: 08472910634</w:t>
      </w:r>
    </w:p>
    <w:p>
      <w:pPr>
        <w:pStyle w:val="BodyText"/>
      </w:pPr>
      <w:r>
        <w:t xml:space="preserve">ORTHODONTIST – NAPLES, ITALY</w:t>
      </w:r>
    </w:p>
    <w:bookmarkEnd w:id="20"/>
    <w:p>
      <w:pPr>
        <w:pStyle w:val="BodyText"/>
      </w:pPr>
      <w:r>
        <w:rPr>
          <w:bCs/>
          <w:b/>
        </w:rPr>
        <w:t xml:space="preserve">Purchase Order No.:</w:t>
      </w:r>
      <w:r>
        <w:t xml:space="preserve"> </w:t>
      </w:r>
      <w:r>
        <w:t xml:space="preserve">PO-2025-NA-0047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w:t>
      </w:r>
      <w:r>
        <w:t xml:space="preserve"> </w:t>
      </w:r>
      <w:r>
        <w:t xml:space="preserve">Ortodent Supply S.r.l.</w:t>
      </w:r>
      <w:r>
        <w:br/>
      </w:r>
      <w:r>
        <w:rPr>
          <w:bCs/>
          <w:b/>
        </w:rPr>
        <w:t xml:space="preserve">Address:</w:t>
      </w:r>
      <w:r>
        <w:t xml:space="preserve"> </w:t>
      </w:r>
      <w:r>
        <w:t xml:space="preserve">Via Argine 88, 20124 Milano (MI), Italy</w:t>
      </w:r>
      <w:r>
        <w:br/>
      </w:r>
      <w:r>
        <w:rPr>
          <w:bCs/>
          <w:b/>
        </w:rPr>
        <w:t xml:space="preserve">Contact:</w:t>
      </w:r>
      <w:r>
        <w:t xml:space="preserve"> </w:t>
      </w:r>
      <w:r>
        <w:t xml:space="preserve">commercial@ortodentsupply.it</w:t>
      </w:r>
      <w:r>
        <w:br/>
      </w:r>
      <w:r>
        <w:rPr>
          <w:bCs/>
          <w:b/>
        </w:rPr>
        <w:t xml:space="preserve">Supplier P.IVA:</w:t>
      </w:r>
      <w:r>
        <w:t xml:space="preserve"> </w:t>
      </w:r>
      <w:r>
        <w:t xml:space="preserve">09231840961</w:t>
      </w:r>
    </w:p>
    <w:bookmarkStart w:id="21" w:name="X12ba1ffccac3e065d18d3db3d3ceb7e3e72bfcf"/>
    <w:p>
      <w:pPr>
        <w:pStyle w:val="Heading2"/>
      </w:pPr>
      <w:r>
        <w:t xml:space="preserve">Bill To / Ship To – Orthodontist Practice, Naples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Recipient:</w:t>
            </w:r>
            <w:r>
              <w:t xml:space="preserve"> </w:t>
            </w:r>
            <w:r>
              <w:t xml:space="preserve">Dott.ssa Maria Concetta Ferraro, Lead Orthodontist</w:t>
            </w:r>
          </w:p>
        </w:tc>
        <w:tc>
          <w:tcPr/>
          <w:p>
            <w:pPr>
              <w:pStyle w:val="Compact"/>
              <w:jc w:val="left"/>
            </w:pPr>
            <w:r>
              <w:rPr>
                <w:bCs/>
                <w:b/>
              </w:rPr>
              <w:t xml:space="preserve">Delivery Address:</w:t>
            </w:r>
            <w:r>
              <w:t xml:space="preserve"> </w:t>
            </w:r>
            <w:r>
              <w:t xml:space="preserve">Via Toledo 142, 80132 Napoli (NA), Italy Naples</w:t>
            </w:r>
          </w:p>
        </w:tc>
      </w:tr>
      <w:tr>
        <w:tc>
          <w:tcPr/>
          <w:p>
            <w:pPr>
              <w:pStyle w:val="Compact"/>
              <w:jc w:val="left"/>
            </w:pPr>
            <w:r>
              <w:rPr>
                <w:bCs/>
                <w:b/>
              </w:rPr>
              <w:t xml:space="preserve">Department:</w:t>
            </w:r>
            <w:r>
              <w:t xml:space="preserve"> </w:t>
            </w:r>
            <w:r>
              <w:t xml:space="preserve">Orthodontic Clinic – Adult &amp; Pediatric</w:t>
            </w:r>
          </w:p>
        </w:tc>
        <w:tc>
          <w:tcPr/>
          <w:p>
            <w:pPr>
              <w:pStyle w:val="Compact"/>
              <w:jc w:val="left"/>
            </w:pPr>
            <w:r>
              <w:rPr>
                <w:bCs/>
                <w:b/>
              </w:rPr>
              <w:t xml:space="preserve">Delivery Window:</w:t>
            </w:r>
            <w:r>
              <w:t xml:space="preserve"> </w:t>
            </w:r>
            <w:r>
              <w:t xml:space="preserve">23 June 2025 – 27 June 2025</w:t>
            </w:r>
          </w:p>
        </w:tc>
      </w:tr>
      <w:tr>
        <w:tc>
          <w:tcPr/>
          <w:p>
            <w:pPr>
              <w:pStyle w:val="Compact"/>
              <w:jc w:val="left"/>
            </w:pPr>
            <w:r>
              <w:rPr>
                <w:bCs/>
                <w:b/>
              </w:rPr>
              <w:t xml:space="preserve">Delivery Instructions:</w:t>
            </w:r>
            <w:r>
              <w:t xml:space="preserve"> </w:t>
            </w:r>
            <w:r>
              <w:t xml:space="preserve">Deliver to ground-floor reception. Call +39 081 554 7821 upon arrival.</w:t>
            </w:r>
          </w:p>
        </w:tc>
        <w:tc>
          <w:tcPr/>
          <w:p>
            <w:pPr>
              <w:pStyle w:val="Compact"/>
              <w:jc w:val="left"/>
            </w:pPr>
            <w:r>
              <w:rPr>
                <w:bCs/>
                <w:b/>
              </w:rPr>
              <w:t xml:space="preserve">Incoterms:</w:t>
            </w:r>
            <w:r>
              <w:t xml:space="preserve"> </w:t>
            </w:r>
            <w:r>
              <w:t xml:space="preserve">DAP (Delivered at Place) – Naples, Italy</w:t>
            </w:r>
          </w:p>
        </w:tc>
      </w:tr>
    </w:tbl>
    <w:bookmarkEnd w:id="21"/>
    <w:bookmarkStart w:id="22" w:name="Xf24b40200478653481f7a2f3d8c7c065bae6a55"/>
    <w:p>
      <w:pPr>
        <w:pStyle w:val="Heading2"/>
      </w:pPr>
      <w:r>
        <w:t xml:space="preserve">Line Items – Orthodontic Products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Self-ligating orthodontic brackets, 0.022" slot, stainless steel (box of 50)</w:t>
            </w:r>
          </w:p>
        </w:tc>
        <w:tc>
          <w:tcPr/>
          <w:p>
            <w:pPr>
              <w:pStyle w:val="Compact"/>
              <w:jc w:val="left"/>
            </w:pPr>
            <w:r>
              <w:t xml:space="preserve">SLB-022-SS</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c>
          <w:tcPr/>
          <w:p>
            <w:pPr>
              <w:pStyle w:val="Compact"/>
              <w:jc w:val="left"/>
            </w:pPr>
            <w:r>
              <w:t xml:space="preserve">For adult orthodontic cases</w:t>
            </w:r>
          </w:p>
        </w:tc>
      </w:tr>
      <w:tr>
        <w:tc>
          <w:tcPr/>
          <w:p>
            <w:pPr>
              <w:pStyle w:val="Compact"/>
              <w:jc w:val="left"/>
            </w:pPr>
            <w:r>
              <w:t xml:space="preserve">2</w:t>
            </w:r>
          </w:p>
        </w:tc>
        <w:tc>
          <w:tcPr/>
          <w:p>
            <w:pPr>
              <w:pStyle w:val="Compact"/>
              <w:jc w:val="left"/>
            </w:pPr>
            <w:r>
              <w:t xml:space="preserve">Ceramic orthodontic brackets, 0.022" slot, translucent (box of 50)</w:t>
            </w:r>
          </w:p>
        </w:tc>
        <w:tc>
          <w:tcPr/>
          <w:p>
            <w:pPr>
              <w:pStyle w:val="Compact"/>
              <w:jc w:val="left"/>
            </w:pPr>
            <w:r>
              <w:t xml:space="preserve">CB-022-TR</w:t>
            </w:r>
          </w:p>
        </w:tc>
        <w:tc>
          <w:tcPr/>
          <w:p>
            <w:pPr>
              <w:pStyle w:val="Compact"/>
              <w:jc w:val="left"/>
            </w:pPr>
            <w:r>
              <w:t xml:space="preserve">15</w:t>
            </w:r>
          </w:p>
        </w:tc>
        <w:tc>
          <w:tcPr/>
          <w:p>
            <w:pPr>
              <w:pStyle w:val="Compact"/>
              <w:jc w:val="left"/>
            </w:pPr>
            <w:r>
              <w:t xml:space="preserve">245.00</w:t>
            </w:r>
          </w:p>
        </w:tc>
        <w:tc>
          <w:tcPr/>
          <w:p>
            <w:pPr>
              <w:pStyle w:val="Compact"/>
              <w:jc w:val="left"/>
            </w:pPr>
            <w:r>
              <w:t xml:space="preserve">3,675.00</w:t>
            </w:r>
          </w:p>
        </w:tc>
        <w:tc>
          <w:tcPr/>
          <w:p>
            <w:pPr>
              <w:pStyle w:val="Compact"/>
              <w:jc w:val="left"/>
            </w:pPr>
            <w:r>
              <w:t xml:space="preserve">Pediatric &amp; aesthetic cases</w:t>
            </w:r>
          </w:p>
        </w:tc>
      </w:tr>
      <w:tr>
        <w:tc>
          <w:tcPr/>
          <w:p>
            <w:pPr>
              <w:pStyle w:val="Compact"/>
              <w:jc w:val="left"/>
            </w:pPr>
            <w:r>
              <w:t xml:space="preserve">3</w:t>
            </w:r>
          </w:p>
        </w:tc>
        <w:tc>
          <w:tcPr/>
          <w:p>
            <w:pPr>
              <w:pStyle w:val="Compact"/>
              <w:jc w:val="left"/>
            </w:pPr>
            <w:r>
              <w:t xml:space="preserve">NiTi archwires, 0.014"–0.022" gauge, 18" length (pack of 25)</w:t>
            </w:r>
          </w:p>
        </w:tc>
        <w:tc>
          <w:tcPr/>
          <w:p>
            <w:pPr>
              <w:pStyle w:val="Compact"/>
              <w:jc w:val="left"/>
            </w:pPr>
            <w:r>
              <w:t xml:space="preserve">NITI-AW-14-22</w:t>
            </w:r>
          </w:p>
        </w:tc>
        <w:tc>
          <w:tcPr/>
          <w:p>
            <w:pPr>
              <w:pStyle w:val="Compact"/>
              <w:jc w:val="left"/>
            </w:pPr>
            <w:r>
              <w:t xml:space="preserve">30</w:t>
            </w:r>
          </w:p>
        </w:tc>
        <w:tc>
          <w:tcPr/>
          <w:p>
            <w:pPr>
              <w:pStyle w:val="Compact"/>
              <w:jc w:val="left"/>
            </w:pPr>
            <w:r>
              <w:t xml:space="preserve">98.50</w:t>
            </w:r>
          </w:p>
        </w:tc>
        <w:tc>
          <w:tcPr/>
          <w:p>
            <w:pPr>
              <w:pStyle w:val="Compact"/>
              <w:jc w:val="left"/>
            </w:pPr>
            <w:r>
              <w:t xml:space="preserve">2,955.00</w:t>
            </w:r>
          </w:p>
        </w:tc>
        <w:tc>
          <w:tcPr/>
          <w:p>
            <w:pPr>
              <w:pStyle w:val="Compact"/>
              <w:jc w:val="left"/>
            </w:pPr>
            <w:r>
              <w:t xml:space="preserve">Shape-memory alloy</w:t>
            </w:r>
          </w:p>
        </w:tc>
      </w:tr>
      <w:tr>
        <w:tc>
          <w:tcPr/>
          <w:p>
            <w:pPr>
              <w:pStyle w:val="Compact"/>
              <w:jc w:val="left"/>
            </w:pPr>
            <w:r>
              <w:t xml:space="preserve">4</w:t>
            </w:r>
          </w:p>
        </w:tc>
        <w:tc>
          <w:tcPr/>
          <w:p>
            <w:pPr>
              <w:pStyle w:val="Compact"/>
              <w:jc w:val="left"/>
            </w:pPr>
            <w:r>
              <w:t xml:space="preserve">Orthodontic elastics, 0.021" round, assorted colors (jar of 1000)</w:t>
            </w:r>
          </w:p>
        </w:tc>
        <w:tc>
          <w:tcPr/>
          <w:p>
            <w:pPr>
              <w:pStyle w:val="Compact"/>
              <w:jc w:val="left"/>
            </w:pPr>
            <w:r>
              <w:t xml:space="preserve">EL-021-RC</w:t>
            </w:r>
          </w:p>
        </w:tc>
        <w:tc>
          <w:tcPr/>
          <w:p>
            <w:pPr>
              <w:pStyle w:val="Compact"/>
              <w:jc w:val="left"/>
            </w:pPr>
            <w:r>
              <w:t xml:space="preserve">40</w:t>
            </w:r>
          </w:p>
        </w:tc>
        <w:tc>
          <w:tcPr/>
          <w:p>
            <w:pPr>
              <w:pStyle w:val="Compact"/>
              <w:jc w:val="left"/>
            </w:pPr>
            <w:r>
              <w:t xml:space="preserve">12.80</w:t>
            </w:r>
          </w:p>
        </w:tc>
        <w:tc>
          <w:tcPr/>
          <w:p>
            <w:pPr>
              <w:pStyle w:val="Compact"/>
              <w:jc w:val="left"/>
            </w:pPr>
            <w:r>
              <w:t xml:space="preserve">512.00</w:t>
            </w:r>
          </w:p>
        </w:tc>
        <w:tc>
          <w:tcPr/>
          <w:p>
            <w:pPr>
              <w:pStyle w:val="Compact"/>
              <w:jc w:val="left"/>
            </w:pPr>
            <w:r>
              <w:t xml:space="preserve">Intermaxillary &amp; Class II</w:t>
            </w:r>
          </w:p>
        </w:tc>
      </w:tr>
      <w:tr>
        <w:tc>
          <w:tcPr/>
          <w:p>
            <w:pPr>
              <w:pStyle w:val="Compact"/>
              <w:jc w:val="left"/>
            </w:pPr>
            <w:r>
              <w:t xml:space="preserve">5</w:t>
            </w:r>
          </w:p>
        </w:tc>
        <w:tc>
          <w:tcPr/>
          <w:p>
            <w:pPr>
              <w:pStyle w:val="Compact"/>
              <w:jc w:val="left"/>
            </w:pPr>
            <w:r>
              <w:t xml:space="preserve">Clear aligner trays, BPA-free thermoplastic (set of 30)</w:t>
            </w:r>
          </w:p>
        </w:tc>
        <w:tc>
          <w:tcPr/>
          <w:p>
            <w:pPr>
              <w:pStyle w:val="Compact"/>
              <w:jc w:val="left"/>
            </w:pPr>
            <w:r>
              <w:t xml:space="preserve">CA-TP-30</w:t>
            </w:r>
          </w:p>
        </w:tc>
        <w:tc>
          <w:tcPr/>
          <w:p>
            <w:pPr>
              <w:pStyle w:val="Compact"/>
              <w:jc w:val="left"/>
            </w:pPr>
            <w:r>
              <w:t xml:space="preserve">10</w:t>
            </w:r>
          </w:p>
        </w:tc>
        <w:tc>
          <w:tcPr/>
          <w:p>
            <w:pPr>
              <w:pStyle w:val="Compact"/>
              <w:jc w:val="left"/>
            </w:pPr>
            <w:r>
              <w:t xml:space="preserve">320.00</w:t>
            </w:r>
          </w:p>
        </w:tc>
        <w:tc>
          <w:tcPr/>
          <w:p>
            <w:pPr>
              <w:pStyle w:val="Compact"/>
              <w:jc w:val="left"/>
            </w:pPr>
            <w:r>
              <w:t xml:space="preserve">3,200.00</w:t>
            </w:r>
          </w:p>
        </w:tc>
        <w:tc>
          <w:tcPr/>
          <w:p>
            <w:pPr>
              <w:pStyle w:val="Compact"/>
              <w:jc w:val="left"/>
            </w:pPr>
            <w:r>
              <w:t xml:space="preserve">For Invisalign-style treatment</w:t>
            </w:r>
          </w:p>
        </w:tc>
      </w:tr>
      <w:tr>
        <w:tc>
          <w:tcPr/>
          <w:p>
            <w:pPr>
              <w:pStyle w:val="Compact"/>
              <w:jc w:val="left"/>
            </w:pPr>
            <w:r>
              <w:t xml:space="preserve">6</w:t>
            </w:r>
          </w:p>
        </w:tc>
        <w:tc>
          <w:tcPr/>
          <w:p>
            <w:pPr>
              <w:pStyle w:val="Compact"/>
              <w:jc w:val="left"/>
            </w:pPr>
            <w:r>
              <w:t xml:space="preserve">Orthodontic bonding agent kit (primer, adhesive, light-cure)</w:t>
            </w:r>
          </w:p>
        </w:tc>
        <w:tc>
          <w:tcPr/>
          <w:p>
            <w:pPr>
              <w:pStyle w:val="Compact"/>
              <w:jc w:val="left"/>
            </w:pPr>
            <w:r>
              <w:t xml:space="preserve">BK-ORT-01</w:t>
            </w:r>
          </w:p>
        </w:tc>
        <w:tc>
          <w:tcPr/>
          <w:p>
            <w:pPr>
              <w:pStyle w:val="Compact"/>
              <w:jc w:val="left"/>
            </w:pPr>
            <w:r>
              <w:t xml:space="preserve">25</w:t>
            </w:r>
          </w:p>
        </w:tc>
        <w:tc>
          <w:tcPr/>
          <w:p>
            <w:pPr>
              <w:pStyle w:val="Compact"/>
              <w:jc w:val="left"/>
            </w:pPr>
            <w:r>
              <w:t xml:space="preserve">42.00</w:t>
            </w:r>
          </w:p>
        </w:tc>
        <w:tc>
          <w:tcPr/>
          <w:p>
            <w:pPr>
              <w:pStyle w:val="Compact"/>
              <w:jc w:val="left"/>
            </w:pPr>
            <w:r>
              <w:t xml:space="preserve">1,050.00</w:t>
            </w:r>
          </w:p>
        </w:tc>
        <w:tc>
          <w:tcPr/>
          <w:p>
            <w:pPr>
              <w:pStyle w:val="Compact"/>
              <w:jc w:val="left"/>
            </w:pPr>
            <w:r>
              <w:t xml:space="preserve">Single-patient kits</w:t>
            </w:r>
          </w:p>
        </w:tc>
      </w:tr>
      <w:tr>
        <w:tc>
          <w:tcPr/>
          <w:p>
            <w:pPr>
              <w:pStyle w:val="Compact"/>
              <w:jc w:val="left"/>
            </w:pPr>
            <w:r>
              <w:t xml:space="preserve">7</w:t>
            </w:r>
          </w:p>
        </w:tc>
        <w:tc>
          <w:tcPr/>
          <w:p>
            <w:pPr>
              <w:pStyle w:val="Compact"/>
              <w:jc w:val="left"/>
            </w:pPr>
            <w:r>
              <w:t xml:space="preserve">Removable orthodontic retainers, Hawley type, acrylic (pair)</w:t>
            </w:r>
          </w:p>
        </w:tc>
        <w:tc>
          <w:tcPr/>
          <w:p>
            <w:pPr>
              <w:pStyle w:val="Compact"/>
              <w:jc w:val="left"/>
            </w:pPr>
            <w:r>
              <w:t xml:space="preserve">HW-RET-AC</w:t>
            </w:r>
          </w:p>
        </w:tc>
        <w:tc>
          <w:tcPr/>
          <w:p>
            <w:pPr>
              <w:pStyle w:val="Compact"/>
              <w:jc w:val="left"/>
            </w:pPr>
            <w:r>
              <w:t xml:space="preserve">50</w:t>
            </w:r>
          </w:p>
        </w:tc>
        <w:tc>
          <w:tcPr/>
          <w:p>
            <w:pPr>
              <w:pStyle w:val="Compact"/>
              <w:jc w:val="left"/>
            </w:pPr>
            <w:r>
              <w:t xml:space="preserve">18.50</w:t>
            </w:r>
          </w:p>
        </w:tc>
        <w:tc>
          <w:tcPr/>
          <w:p>
            <w:pPr>
              <w:pStyle w:val="Compact"/>
              <w:jc w:val="left"/>
            </w:pPr>
            <w:r>
              <w:t xml:space="preserve">925.00</w:t>
            </w:r>
          </w:p>
        </w:tc>
        <w:tc>
          <w:tcPr/>
          <w:p>
            <w:pPr>
              <w:pStyle w:val="Compact"/>
              <w:jc w:val="left"/>
            </w:pPr>
            <w:r>
              <w:t xml:space="preserve">Post-treatment retention</w:t>
            </w:r>
          </w:p>
        </w:tc>
      </w:tr>
      <w:tr>
        <w:tc>
          <w:tcPr/>
          <w:p>
            <w:pPr>
              <w:pStyle w:val="Compact"/>
              <w:jc w:val="left"/>
            </w:pPr>
            <w:r>
              <w:t xml:space="preserve">8</w:t>
            </w:r>
          </w:p>
        </w:tc>
        <w:tc>
          <w:tcPr/>
          <w:p>
            <w:pPr>
              <w:pStyle w:val="Compact"/>
              <w:jc w:val="left"/>
            </w:pPr>
            <w:r>
              <w:t xml:space="preserve">Orthodontic forceps set (6 pieces, German stainless steel)</w:t>
            </w:r>
          </w:p>
        </w:tc>
        <w:tc>
          <w:tcPr/>
          <w:p>
            <w:pPr>
              <w:pStyle w:val="Compact"/>
              <w:jc w:val="left"/>
            </w:pPr>
            <w:r>
              <w:t xml:space="preserve">FP-ORT-6</w:t>
            </w:r>
          </w:p>
        </w:tc>
        <w:tc>
          <w:tcPr/>
          <w:p>
            <w:pPr>
              <w:pStyle w:val="Compact"/>
              <w:jc w:val="left"/>
            </w:pPr>
            <w:r>
              <w:t xml:space="preserve">4</w:t>
            </w:r>
          </w:p>
        </w:tc>
        <w:tc>
          <w:tcPr/>
          <w:p>
            <w:pPr>
              <w:pStyle w:val="Compact"/>
              <w:jc w:val="left"/>
            </w:pPr>
            <w:r>
              <w:t xml:space="preserve">165.00</w:t>
            </w:r>
          </w:p>
        </w:tc>
        <w:tc>
          <w:tcPr/>
          <w:p>
            <w:pPr>
              <w:pStyle w:val="Compact"/>
              <w:jc w:val="left"/>
            </w:pPr>
            <w:r>
              <w:t xml:space="preserve">660.00</w:t>
            </w:r>
          </w:p>
        </w:tc>
        <w:tc>
          <w:tcPr/>
          <w:p>
            <w:pPr>
              <w:pStyle w:val="Compact"/>
              <w:jc w:val="left"/>
            </w:pPr>
            <w:r>
              <w:t xml:space="preserve">Bracket placement &amp; removal</w:t>
            </w:r>
          </w:p>
        </w:tc>
      </w:tr>
      <w:tr>
        <w:tc>
          <w:tcPr/>
          <w:p>
            <w:pPr>
              <w:pStyle w:val="Compact"/>
              <w:jc w:val="left"/>
            </w:pPr>
            <w:r>
              <w:t xml:space="preserve">9</w:t>
            </w:r>
          </w:p>
        </w:tc>
        <w:tc>
          <w:tcPr/>
          <w:p>
            <w:pPr>
              <w:pStyle w:val="Compact"/>
              <w:jc w:val="left"/>
            </w:pPr>
            <w:r>
              <w:t xml:space="preserve">Intraoral scanner tip replacements, universal fit (pack of 10)</w:t>
            </w:r>
          </w:p>
        </w:tc>
        <w:tc>
          <w:tcPr/>
          <w:p>
            <w:pPr>
              <w:pStyle w:val="Compact"/>
              <w:jc w:val="left"/>
            </w:pPr>
            <w:r>
              <w:t xml:space="preserve">IS-TIP-10</w:t>
            </w:r>
          </w:p>
        </w:tc>
        <w:tc>
          <w:tcPr/>
          <w:p>
            <w:pPr>
              <w:pStyle w:val="Compact"/>
              <w:jc w:val="left"/>
            </w:pPr>
            <w:r>
              <w:t xml:space="preserve">6</w:t>
            </w:r>
          </w:p>
        </w:tc>
        <w:tc>
          <w:tcPr/>
          <w:p>
            <w:pPr>
              <w:pStyle w:val="Compact"/>
              <w:jc w:val="left"/>
            </w:pPr>
            <w:r>
              <w:t xml:space="preserve">210.00</w:t>
            </w:r>
          </w:p>
        </w:tc>
        <w:tc>
          <w:tcPr/>
          <w:p>
            <w:pPr>
              <w:pStyle w:val="Compact"/>
              <w:jc w:val="left"/>
            </w:pPr>
            <w:r>
              <w:t xml:space="preserve">1,260.00</w:t>
            </w:r>
          </w:p>
        </w:tc>
        <w:tc>
          <w:tcPr/>
          <w:p>
            <w:pPr>
              <w:pStyle w:val="Compact"/>
              <w:jc w:val="left"/>
            </w:pPr>
            <w:r>
              <w:t xml:space="preserve">Compatible with 3Shape TRIOS</w:t>
            </w:r>
          </w:p>
        </w:tc>
      </w:tr>
      <w:tr>
        <w:tc>
          <w:tcPr/>
          <w:p>
            <w:pPr>
              <w:pStyle w:val="Compact"/>
              <w:jc w:val="left"/>
            </w:pPr>
            <w:r>
              <w:t xml:space="preserve">10</w:t>
            </w:r>
          </w:p>
        </w:tc>
        <w:tc>
          <w:tcPr/>
          <w:p>
            <w:pPr>
              <w:pStyle w:val="Compact"/>
              <w:jc w:val="left"/>
            </w:pPr>
            <w:r>
              <w:t xml:space="preserve">Orthodontic wax, hypoallergenic, 10g tubes (box of 100)</w:t>
            </w:r>
          </w:p>
        </w:tc>
        <w:tc>
          <w:tcPr/>
          <w:p>
            <w:pPr>
              <w:pStyle w:val="Compact"/>
              <w:jc w:val="left"/>
            </w:pPr>
            <w:r>
              <w:t xml:space="preserve">OW-HA-10</w:t>
            </w:r>
          </w:p>
        </w:tc>
        <w:tc>
          <w:tcPr/>
          <w:p>
            <w:pPr>
              <w:pStyle w:val="Compact"/>
              <w:jc w:val="left"/>
            </w:pPr>
            <w:r>
              <w:t xml:space="preserve">12</w:t>
            </w:r>
          </w:p>
        </w:tc>
        <w:tc>
          <w:tcPr/>
          <w:p>
            <w:pPr>
              <w:pStyle w:val="Compact"/>
              <w:jc w:val="left"/>
            </w:pPr>
            <w:r>
              <w:t xml:space="preserve">28.00</w:t>
            </w:r>
          </w:p>
        </w:tc>
        <w:tc>
          <w:tcPr/>
          <w:p>
            <w:pPr>
              <w:pStyle w:val="Compact"/>
              <w:jc w:val="left"/>
            </w:pPr>
            <w:r>
              <w:t xml:space="preserve">336.00</w:t>
            </w:r>
          </w:p>
        </w:tc>
        <w:tc>
          <w:tcPr/>
          <w:p>
            <w:pPr>
              <w:pStyle w:val="Compact"/>
              <w:jc w:val="left"/>
            </w:pPr>
            <w:r>
              <w:t xml:space="preserve">Patient comfort supply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EUR 18,273.00</w:t>
            </w:r>
          </w:p>
        </w:tc>
      </w:tr>
      <w:tr>
        <w:tc>
          <w:tcPr/>
          <w:p>
            <w:pPr>
              <w:pStyle w:val="Compact"/>
              <w:jc w:val="left"/>
            </w:pPr>
            <w:r>
              <w:t xml:space="preserve">VAT (22% – Italian standard rate)</w:t>
            </w:r>
          </w:p>
        </w:tc>
        <w:tc>
          <w:tcPr/>
          <w:p>
            <w:pPr>
              <w:pStyle w:val="Compact"/>
              <w:jc w:val="left"/>
            </w:pPr>
            <w:r>
              <w:t xml:space="preserve">EUR 4,020.06</w:t>
            </w:r>
          </w:p>
        </w:tc>
      </w:tr>
      <w:tr>
        <w:tc>
          <w:tcPr/>
          <w:p>
            <w:pPr>
              <w:pStyle w:val="Compact"/>
              <w:jc w:val="left"/>
            </w:pPr>
            <w:r>
              <w:t xml:space="preserve">Shipping &amp; Handling (Naples, Italy)</w:t>
            </w:r>
          </w:p>
        </w:tc>
        <w:tc>
          <w:tcPr/>
          <w:p>
            <w:pPr>
              <w:pStyle w:val="Compact"/>
              <w:jc w:val="left"/>
            </w:pPr>
            <w:r>
              <w:t xml:space="preserve">EUR 85.00</w:t>
            </w:r>
          </w:p>
        </w:tc>
      </w:tr>
      <w:tr>
        <w:tc>
          <w:tcPr/>
          <w:p>
            <w:pPr>
              <w:pStyle w:val="Compact"/>
              <w:jc w:val="left"/>
            </w:pPr>
            <w:r>
              <w:rPr>
                <w:bCs/>
                <w:b/>
              </w:rPr>
              <w:t xml:space="preserve">Grand Total</w:t>
            </w:r>
          </w:p>
        </w:tc>
        <w:tc>
          <w:tcPr/>
          <w:p>
            <w:pPr>
              <w:pStyle w:val="Compact"/>
              <w:jc w:val="left"/>
            </w:pPr>
            <w:r>
              <w:rPr>
                <w:bCs/>
                <w:b/>
              </w:rPr>
              <w:t xml:space="preserve">EUR 22,378.06</w:t>
            </w: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Payment Terms:</w:t>
      </w:r>
      <w:r>
        <w:t xml:space="preserve"> </w:t>
      </w:r>
      <w:r>
        <w:t xml:space="preserve">Net 30 days from the date of invoice. Payment shall be made via bank transfer (bonifico bancario) to the supplier's IBAN: IT60 X054 2811 1000 0000 0123 456. The orthodontist practice in Naples, Italy shall include the Purchase Order number PO-2025-NA-0047 in the payment reference.</w:t>
      </w:r>
    </w:p>
    <w:p>
      <w:pPr>
        <w:numPr>
          <w:ilvl w:val="0"/>
          <w:numId w:val="1001"/>
        </w:numPr>
        <w:pStyle w:val="Compact"/>
      </w:pPr>
      <w:r>
        <w:rPr>
          <w:bCs/>
          <w:b/>
        </w:rPr>
        <w:t xml:space="preserve">Delivery:</w:t>
      </w:r>
      <w:r>
        <w:t xml:space="preserve"> </w:t>
      </w:r>
      <w:r>
        <w:t xml:space="preserve">All goods shall be delivered to the orthodontist clinic located at Via Toledo 142, 80132 Napoli, Italy Naples, within the delivery window specified above. The supplier is responsible for all transportation costs and risks until the goods are received at the Naples facility.</w:t>
      </w:r>
    </w:p>
    <w:p>
      <w:pPr>
        <w:numPr>
          <w:ilvl w:val="0"/>
          <w:numId w:val="1001"/>
        </w:numPr>
        <w:pStyle w:val="Compact"/>
      </w:pPr>
      <w:r>
        <w:rPr>
          <w:bCs/>
          <w:b/>
        </w:rPr>
        <w:t xml:space="preserve">Quality Assurance:</w:t>
      </w:r>
      <w:r>
        <w:t xml:space="preserve"> </w:t>
      </w:r>
      <w:r>
        <w:t xml:space="preserve">All orthodontic products must comply with EU Medical Device Regulation (MDR) 2017/745 and bear the CE marking. The supplier warrants that all items are new, unused, and within their stated shelf life. Certificates of conformity shall accompany each shipment.</w:t>
      </w:r>
    </w:p>
    <w:p>
      <w:pPr>
        <w:numPr>
          <w:ilvl w:val="0"/>
          <w:numId w:val="1001"/>
        </w:numPr>
        <w:pStyle w:val="Compact"/>
      </w:pPr>
      <w:r>
        <w:rPr>
          <w:bCs/>
          <w:b/>
        </w:rPr>
        <w:t xml:space="preserve">Acceptance &amp; Inspection:</w:t>
      </w:r>
      <w:r>
        <w:t xml:space="preserve"> </w:t>
      </w:r>
      <w:r>
        <w:t xml:space="preserve">The orthodontist practice in Naples shall inspect all delivered goods within five (5) business days of receipt. Any discrepancies in quantity, damage in transit, or non-conformity with the specifications listed in this Purchase Order must be reported in writing to the supplier within the same period.</w:t>
      </w:r>
    </w:p>
    <w:p>
      <w:pPr>
        <w:numPr>
          <w:ilvl w:val="0"/>
          <w:numId w:val="1001"/>
        </w:numPr>
        <w:pStyle w:val="Compact"/>
      </w:pPr>
      <w:r>
        <w:rPr>
          <w:bCs/>
          <w:b/>
        </w:rPr>
        <w:t xml:space="preserve">Warranty:</w:t>
      </w:r>
      <w:r>
        <w:t xml:space="preserve"> </w:t>
      </w:r>
      <w:r>
        <w:t xml:space="preserve">The supplier provides a minimum twelve (12) month warranty on all orthodontic instruments and equipment. Consumable items (brackets, wires, elastics, aligners) are warranted to be free from manufacturing defects at the time of delivery.</w:t>
      </w:r>
    </w:p>
    <w:p>
      <w:pPr>
        <w:numPr>
          <w:ilvl w:val="0"/>
          <w:numId w:val="1001"/>
        </w:numPr>
        <w:pStyle w:val="Compact"/>
      </w:pPr>
      <w:r>
        <w:rPr>
          <w:bCs/>
          <w:b/>
        </w:rPr>
        <w:t xml:space="preserve">Return Policy:</w:t>
      </w:r>
      <w:r>
        <w:t xml:space="preserve"> </w:t>
      </w:r>
      <w:r>
        <w:t xml:space="preserve">Unopened, unused items in original packaging may be returned within thirty (30) days of delivery for a full refund, subject to a 10% restocking fee. Returns must be pre-authorized by the supplier's commercial department in Milan.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this order shall be subject to the exclusive jurisdiction of the Tribunale di Napoli, Italy Naples.</w:t>
      </w:r>
    </w:p>
    <w:p>
      <w:pPr>
        <w:numPr>
          <w:ilvl w:val="0"/>
          <w:numId w:val="1001"/>
        </w:numPr>
        <w:pStyle w:val="Compact"/>
      </w:pPr>
      <w:r>
        <w:rPr>
          <w:bCs/>
          <w:b/>
        </w:rPr>
        <w:t xml:space="preserve">Confidentiality:</w:t>
      </w:r>
      <w:r>
        <w:t xml:space="preserve"> </w:t>
      </w:r>
      <w:r>
        <w:t xml:space="preserve">Both parties agree to maintain the confidentiality of all commercial terms, patient-related data, and proprietary information exchanged in connection with this orthodontic supply agreement.</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strikes, or government-imposed restrictions affecting the Naples metropolitan area or the broader Italian territory.</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the orthodontist practice in Naples and the supplier. Verbal agreements shall not be binding.</w:t>
      </w:r>
    </w:p>
    <w:bookmarkEnd w:id="23"/>
    <w:bookmarkStart w:id="24" w:name="authorized-signatures"/>
    <w:p>
      <w:pPr>
        <w:pStyle w:val="Heading2"/>
      </w:pPr>
      <w:r>
        <w:t xml:space="preserve">Authorized Signatures</w:t>
      </w:r>
    </w:p>
    <w:p>
      <w:pPr>
        <w:pStyle w:val="FirstParagraph"/>
      </w:pPr>
      <w:r>
        <w:rPr>
          <w:bCs/>
          <w:b/>
        </w:rPr>
        <w:t xml:space="preserve">For the Orthodontist Practice (Buyer):</w:t>
      </w:r>
    </w:p>
    <w:p>
      <w:pPr>
        <w:pStyle w:val="BodyText"/>
      </w:pPr>
      <w:r>
        <w:t xml:space="preserve">Dott.ssa Maria Concetta Ferraro</w:t>
      </w:r>
      <w:r>
        <w:br/>
      </w:r>
      <w:r>
        <w:t xml:space="preserve">Lead Orthodontist &amp; Practice Owner</w:t>
      </w:r>
      <w:r>
        <w:br/>
      </w:r>
      <w:r>
        <w:t xml:space="preserve">Studio Ortodontico Ferraro, Naples, Italy</w:t>
      </w:r>
    </w:p>
    <w:p>
      <w:pPr>
        <w:pStyle w:val="BodyText"/>
      </w:pPr>
      <w:r>
        <w:t xml:space="preserve">Signature &amp; Date</w:t>
      </w:r>
    </w:p>
    <w:p>
      <w:pPr>
        <w:pStyle w:val="BodyText"/>
      </w:pPr>
      <w:r>
        <w:rPr>
          <w:bCs/>
          <w:b/>
        </w:rPr>
        <w:t xml:space="preserve">For the Supplier (Seller):</w:t>
      </w:r>
    </w:p>
    <w:p>
      <w:pPr>
        <w:pStyle w:val="BodyText"/>
      </w:pPr>
      <w:r>
        <w:t xml:space="preserve">Ing. Paolo Rinaldi</w:t>
      </w:r>
      <w:r>
        <w:br/>
      </w:r>
      <w:r>
        <w:t xml:space="preserve">Commercial Director</w:t>
      </w:r>
      <w:r>
        <w:br/>
      </w:r>
      <w:r>
        <w:t xml:space="preserve">Ortodent Supply S.r.l., Milano, Italy</w:t>
      </w:r>
    </w:p>
    <w:p>
      <w:pPr>
        <w:pStyle w:val="BodyText"/>
      </w:pPr>
      <w:r>
        <w:t xml:space="preserve">Signature &amp; Date</w:t>
      </w:r>
    </w:p>
    <w:bookmarkEnd w:id="24"/>
    <w:p>
      <w:pPr>
        <w:pStyle w:val="BodyText"/>
      </w:pPr>
      <w:r>
        <w:t xml:space="preserve">This Purchase Order was issued by Studio Ortodontico Dott.ssa Maria Concetta Ferraro, an orthodontist practice registered in Naples, Italy (Napoli, Campania). Document reference: PO-2025-NA-0047. This document is valid only when signed by both parties. For any queries regarding this orthodontic supply order, please contact the purchasing department at ordini@studioferraro-napoli.it or by telephone at +39 081 554 7821 during business hours (Monday to Friday, 09:00–18:00 CET).</w:t>
      </w:r>
    </w:p>
    <w:p>
      <w:pPr>
        <w:pStyle w:val="BodyText"/>
      </w:pPr>
      <w:r>
        <w:t xml:space="preserve">© 2025 Studio Ortodontico Ferraro – Naples,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Naples Italy</dc:title>
  <dc:creator/>
  <dc:language>en</dc:language>
  <cp:keywords/>
  <dcterms:created xsi:type="dcterms:W3CDTF">2026-10-10T04:40:50Z</dcterms:created>
  <dcterms:modified xsi:type="dcterms:W3CDTF">2026-10-10T04:40:50Z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