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rPr>
          <w:bCs/>
          <w:b/>
        </w:rPr>
        <w:t xml:space="preserve">Dr. Aiman Farid Orthodontic Specialist Centre</w:t>
      </w:r>
    </w:p>
    <w:p>
      <w:pPr>
        <w:pStyle w:val="BodyText"/>
      </w:pPr>
      <w:r>
        <w:t xml:space="preserve">Level 12, Menara KL Sentral, Jalan Stesen Sentral 5, 50470</w:t>
      </w:r>
      <w:r>
        <w:t xml:space="preserve"> </w:t>
      </w:r>
      <w:r>
        <w:t xml:space="preserve">Malaysia Kuala Lumpur</w:t>
      </w:r>
    </w:p>
    <w:p>
      <w:pPr>
        <w:pStyle w:val="BodyText"/>
      </w:pPr>
      <w:r>
        <w:t xml:space="preserve">Tel: +603-2181-4567 | Email: procurement@aimanfaridortho.com.my | SSM Reg: 201901045678</w:t>
      </w:r>
    </w:p>
    <w:bookmarkEnd w:id="20"/>
    <w:p>
      <w:pPr>
        <w:pStyle w:val="BodyText"/>
      </w:pPr>
      <w:r>
        <w:rPr>
          <w:bCs/>
          <w:b/>
        </w:rPr>
        <w:t xml:space="preserve">Purchase Order No.:</w:t>
      </w:r>
      <w:r>
        <w:t xml:space="preserve"> </w:t>
      </w:r>
      <w:r>
        <w:t xml:space="preserve">PO-ORTHO-KL-2025-0347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DentalPro Asia Sdn. Bhd.</w:t>
            </w:r>
          </w:p>
        </w:tc>
      </w:tr>
      <w:tr>
        <w:tc>
          <w:tcPr/>
          <w:p>
            <w:pPr>
              <w:pStyle w:val="Compact"/>
              <w:jc w:val="left"/>
            </w:pPr>
            <w:r>
              <w:rPr>
                <w:bCs/>
                <w:b/>
              </w:rPr>
              <w:t xml:space="preserve">Address:</w:t>
            </w:r>
          </w:p>
        </w:tc>
        <w:tc>
          <w:tcPr/>
          <w:p>
            <w:pPr>
              <w:pStyle w:val="Compact"/>
              <w:jc w:val="left"/>
            </w:pPr>
            <w:r>
              <w:t xml:space="preserve">Unit 8-3, Level 8, Bangsar Trade Centre, 285 Jalan Maarof, 58955</w:t>
            </w:r>
            <w:r>
              <w:t xml:space="preserve"> </w:t>
            </w:r>
            <w:r>
              <w:t xml:space="preserve">Malaysia Kuala Lumpur</w:t>
            </w:r>
          </w:p>
        </w:tc>
      </w:tr>
      <w:tr>
        <w:tc>
          <w:tcPr/>
          <w:p>
            <w:pPr>
              <w:pStyle w:val="Compact"/>
              <w:jc w:val="left"/>
            </w:pPr>
            <w:r>
              <w:rPr>
                <w:bCs/>
                <w:b/>
              </w:rPr>
              <w:t xml:space="preserve">Contact Person:</w:t>
            </w:r>
          </w:p>
        </w:tc>
        <w:tc>
          <w:tcPr/>
          <w:p>
            <w:pPr>
              <w:pStyle w:val="Compact"/>
              <w:jc w:val="left"/>
            </w:pPr>
            <w:r>
              <w:t xml:space="preserve">Mr. Rajesh Kumar, Sales Manager</w:t>
            </w:r>
          </w:p>
        </w:tc>
      </w:tr>
      <w:tr>
        <w:tc>
          <w:tcPr/>
          <w:p>
            <w:pPr>
              <w:pStyle w:val="Compact"/>
              <w:jc w:val="left"/>
            </w:pPr>
            <w:r>
              <w:rPr>
                <w:bCs/>
                <w:b/>
              </w:rPr>
              <w:t xml:space="preserve">Phone / Email:</w:t>
            </w:r>
          </w:p>
        </w:tc>
        <w:tc>
          <w:tcPr/>
          <w:p>
            <w:pPr>
              <w:pStyle w:val="Compact"/>
              <w:jc w:val="left"/>
            </w:pPr>
            <w:r>
              <w:t xml:space="preserve">+603-2287-9900 / sales@dentalproasia.com.my</w:t>
            </w:r>
          </w:p>
        </w:tc>
      </w:tr>
      <w:tr>
        <w:tc>
          <w:tcPr/>
          <w:p>
            <w:pPr>
              <w:pStyle w:val="Compact"/>
              <w:jc w:val="left"/>
            </w:pPr>
            <w:r>
              <w:rPr>
                <w:bCs/>
                <w:b/>
              </w:rPr>
              <w:t xml:space="preserve">Supplier SSM Reg:</w:t>
            </w:r>
          </w:p>
        </w:tc>
        <w:tc>
          <w:tcPr/>
          <w:p>
            <w:pPr>
              <w:pStyle w:val="Compact"/>
              <w:jc w:val="left"/>
            </w:pPr>
            <w:r>
              <w:t xml:space="preserve">200501987654</w:t>
            </w:r>
          </w:p>
        </w:tc>
      </w:tr>
    </w:tbl>
    <w:p>
      <w:pPr>
        <w:pStyle w:val="BodyText"/>
      </w:pPr>
      <w:r>
        <w:t xml:space="preserve">Order Details – Orthodontic Equipment &amp; Materials</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Amount (MYR)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Self-Ligating Orthodontic Brackets – Roth 0.22" Slot (Upper &amp; Lower Set)</w:t>
            </w:r>
          </w:p>
        </w:tc>
        <w:tc>
          <w:tcPr/>
          <w:p>
            <w:pPr>
              <w:pStyle w:val="Compact"/>
              <w:jc w:val="left"/>
            </w:pPr>
            <w:r>
              <w:t xml:space="preserve">SLB-R22-UL</w:t>
            </w:r>
          </w:p>
        </w:tc>
        <w:tc>
          <w:tcPr/>
          <w:p>
            <w:pPr>
              <w:pStyle w:val="Compact"/>
              <w:jc w:val="left"/>
            </w:pPr>
            <w:r>
              <w:t xml:space="preserve">50</w:t>
            </w:r>
          </w:p>
        </w:tc>
        <w:tc>
          <w:tcPr/>
          <w:p>
            <w:pPr>
              <w:pStyle w:val="Compact"/>
              <w:jc w:val="left"/>
            </w:pPr>
            <w:r>
              <w:t xml:space="preserve">1,850.00</w:t>
            </w:r>
          </w:p>
        </w:tc>
        <w:tc>
          <w:tcPr/>
          <w:p>
            <w:pPr>
              <w:pStyle w:val="Compact"/>
              <w:jc w:val="left"/>
            </w:pPr>
            <w:r>
              <w:t xml:space="preserve">92,500.00</w:t>
            </w:r>
          </w:p>
        </w:tc>
        <w:tc>
          <w:tcPr/>
          <w:p>
            <w:pPr>
              <w:pStyle w:val="Compact"/>
              <w:jc w:val="left"/>
            </w:pPr>
            <w:r>
              <w:t xml:space="preserve">For</w:t>
            </w:r>
            <w:r>
              <w:t xml:space="preserve"> </w:t>
            </w:r>
            <w:r>
              <w:t xml:space="preserve">Orthodontist</w:t>
            </w:r>
            <w:r>
              <w:t xml:space="preserve"> </w:t>
            </w:r>
            <w:r>
              <w:t xml:space="preserve">fixed appliance treatment</w:t>
            </w:r>
          </w:p>
        </w:tc>
      </w:tr>
      <w:tr>
        <w:tc>
          <w:tcPr/>
          <w:p>
            <w:pPr>
              <w:pStyle w:val="Compact"/>
              <w:jc w:val="left"/>
            </w:pPr>
            <w:r>
              <w:t xml:space="preserve">2</w:t>
            </w:r>
          </w:p>
        </w:tc>
        <w:tc>
          <w:tcPr/>
          <w:p>
            <w:pPr>
              <w:pStyle w:val="Compact"/>
              <w:jc w:val="left"/>
            </w:pPr>
            <w:r>
              <w:t xml:space="preserve">NiTi Archwires – 0.014" to 0.022" (Full Range, 18" Length)</w:t>
            </w:r>
          </w:p>
        </w:tc>
        <w:tc>
          <w:tcPr/>
          <w:p>
            <w:pPr>
              <w:pStyle w:val="Compact"/>
              <w:jc w:val="left"/>
            </w:pPr>
            <w:r>
              <w:t xml:space="preserve">NIT-ARW-FR</w:t>
            </w:r>
          </w:p>
        </w:tc>
        <w:tc>
          <w:tcPr/>
          <w:p>
            <w:pPr>
              <w:pStyle w:val="Compact"/>
              <w:jc w:val="left"/>
            </w:pPr>
            <w:r>
              <w:t xml:space="preserve">200</w:t>
            </w:r>
          </w:p>
        </w:tc>
        <w:tc>
          <w:tcPr/>
          <w:p>
            <w:pPr>
              <w:pStyle w:val="Compact"/>
              <w:jc w:val="left"/>
            </w:pPr>
            <w:r>
              <w:t xml:space="preserve">45.00</w:t>
            </w:r>
          </w:p>
        </w:tc>
        <w:tc>
          <w:tcPr/>
          <w:p>
            <w:pPr>
              <w:pStyle w:val="Compact"/>
              <w:jc w:val="left"/>
            </w:pPr>
            <w:r>
              <w:t xml:space="preserve">9,000.00</w:t>
            </w:r>
          </w:p>
        </w:tc>
        <w:tc>
          <w:tcPr/>
          <w:p>
            <w:pPr>
              <w:pStyle w:val="Compact"/>
              <w:jc w:val="left"/>
            </w:pPr>
            <w:r>
              <w:t xml:space="preserve">Heat-activated, for progressive alignment</w:t>
            </w:r>
          </w:p>
        </w:tc>
      </w:tr>
      <w:tr>
        <w:tc>
          <w:tcPr/>
          <w:p>
            <w:pPr>
              <w:pStyle w:val="Compact"/>
              <w:jc w:val="left"/>
            </w:pPr>
            <w:r>
              <w:t xml:space="preserve">3</w:t>
            </w:r>
          </w:p>
        </w:tc>
        <w:tc>
          <w:tcPr/>
          <w:p>
            <w:pPr>
              <w:pStyle w:val="Compact"/>
              <w:jc w:val="left"/>
            </w:pPr>
            <w:r>
              <w:t xml:space="preserve">Clear Aligner Trays – 3D Printed (Per Patient Set, 20 Trays)</w:t>
            </w:r>
          </w:p>
        </w:tc>
        <w:tc>
          <w:tcPr/>
          <w:p>
            <w:pPr>
              <w:pStyle w:val="Compact"/>
              <w:jc w:val="left"/>
            </w:pPr>
            <w:r>
              <w:t xml:space="preserve">CA-3DP-20</w:t>
            </w:r>
          </w:p>
        </w:tc>
        <w:tc>
          <w:tcPr/>
          <w:p>
            <w:pPr>
              <w:pStyle w:val="Compact"/>
              <w:jc w:val="left"/>
            </w:pPr>
            <w:r>
              <w:t xml:space="preserve">30</w:t>
            </w:r>
          </w:p>
        </w:tc>
        <w:tc>
          <w:tcPr/>
          <w:p>
            <w:pPr>
              <w:pStyle w:val="Compact"/>
              <w:jc w:val="left"/>
            </w:pPr>
            <w:r>
              <w:t xml:space="preserve">2,400.00</w:t>
            </w:r>
          </w:p>
        </w:tc>
        <w:tc>
          <w:tcPr/>
          <w:p>
            <w:pPr>
              <w:pStyle w:val="Compact"/>
              <w:jc w:val="left"/>
            </w:pPr>
            <w:r>
              <w:t xml:space="preserve">72,000.00</w:t>
            </w:r>
          </w:p>
        </w:tc>
        <w:tc>
          <w:tcPr/>
          <w:p>
            <w:pPr>
              <w:pStyle w:val="Compact"/>
              <w:jc w:val="left"/>
            </w:pPr>
            <w:r>
              <w:t xml:space="preserve">Customised for</w:t>
            </w:r>
            <w:r>
              <w:t xml:space="preserve"> </w:t>
            </w:r>
            <w:r>
              <w:t xml:space="preserve">Malaysia Kuala Lumpur</w:t>
            </w:r>
            <w:r>
              <w:t xml:space="preserve"> </w:t>
            </w:r>
            <w:r>
              <w:t xml:space="preserve">patient records</w:t>
            </w:r>
          </w:p>
        </w:tc>
      </w:tr>
      <w:tr>
        <w:tc>
          <w:tcPr/>
          <w:p>
            <w:pPr>
              <w:pStyle w:val="Compact"/>
              <w:jc w:val="left"/>
            </w:pPr>
            <w:r>
              <w:t xml:space="preserve">4</w:t>
            </w:r>
          </w:p>
        </w:tc>
        <w:tc>
          <w:tcPr/>
          <w:p>
            <w:pPr>
              <w:pStyle w:val="Compact"/>
              <w:jc w:val="left"/>
            </w:pPr>
            <w:r>
              <w:t xml:space="preserve">Orthodontic Bonding Kit – Adhesive, Primer, Light Cure Unit</w:t>
            </w:r>
          </w:p>
        </w:tc>
        <w:tc>
          <w:tcPr/>
          <w:p>
            <w:pPr>
              <w:pStyle w:val="Compact"/>
              <w:jc w:val="left"/>
            </w:pPr>
            <w:r>
              <w:t xml:space="preserve">OBK-LCU-01</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18,000.00</w:t>
            </w:r>
          </w:p>
        </w:tc>
        <w:tc>
          <w:tcPr/>
          <w:p>
            <w:pPr>
              <w:pStyle w:val="Compact"/>
              <w:jc w:val="left"/>
            </w:pPr>
            <w:r>
              <w:t xml:space="preserve">Complete bonding system for bracket placement</w:t>
            </w:r>
          </w:p>
        </w:tc>
      </w:tr>
      <w:tr>
        <w:tc>
          <w:tcPr/>
          <w:p>
            <w:pPr>
              <w:pStyle w:val="Compact"/>
              <w:jc w:val="left"/>
            </w:pPr>
            <w:r>
              <w:t xml:space="preserve">5</w:t>
            </w:r>
          </w:p>
        </w:tc>
        <w:tc>
          <w:tcPr/>
          <w:p>
            <w:pPr>
              <w:pStyle w:val="Compact"/>
              <w:jc w:val="left"/>
            </w:pPr>
            <w:r>
              <w:t xml:space="preserve">Interproximal Reduction (IPR) Strips – 100 Micron (Box of 100)</w:t>
            </w:r>
          </w:p>
        </w:tc>
        <w:tc>
          <w:tcPr/>
          <w:p>
            <w:pPr>
              <w:pStyle w:val="Compact"/>
              <w:jc w:val="left"/>
            </w:pPr>
            <w:r>
              <w:t xml:space="preserve">IPR-100-BOX</w:t>
            </w:r>
          </w:p>
        </w:tc>
        <w:tc>
          <w:tcPr/>
          <w:p>
            <w:pPr>
              <w:pStyle w:val="Compact"/>
              <w:jc w:val="left"/>
            </w:pPr>
            <w:r>
              <w:t xml:space="preserve">40</w:t>
            </w:r>
          </w:p>
        </w:tc>
        <w:tc>
          <w:tcPr/>
          <w:p>
            <w:pPr>
              <w:pStyle w:val="Compact"/>
              <w:jc w:val="left"/>
            </w:pPr>
            <w:r>
              <w:t xml:space="preserve">180.00</w:t>
            </w:r>
          </w:p>
        </w:tc>
        <w:tc>
          <w:tcPr/>
          <w:p>
            <w:pPr>
              <w:pStyle w:val="Compact"/>
              <w:jc w:val="left"/>
            </w:pPr>
            <w:r>
              <w:t xml:space="preserve">7,200.00</w:t>
            </w:r>
          </w:p>
        </w:tc>
        <w:tc>
          <w:tcPr/>
          <w:p>
            <w:pPr>
              <w:pStyle w:val="Compact"/>
              <w:jc w:val="left"/>
            </w:pPr>
            <w:r>
              <w:t xml:space="preserve">For space creation in crowded arches</w:t>
            </w:r>
          </w:p>
        </w:tc>
      </w:tr>
      <w:tr>
        <w:tc>
          <w:tcPr/>
          <w:p>
            <w:pPr>
              <w:pStyle w:val="Compact"/>
              <w:jc w:val="left"/>
            </w:pPr>
            <w:r>
              <w:t xml:space="preserve">6</w:t>
            </w:r>
          </w:p>
        </w:tc>
        <w:tc>
          <w:tcPr/>
          <w:p>
            <w:pPr>
              <w:pStyle w:val="Compact"/>
              <w:jc w:val="left"/>
            </w:pPr>
            <w:r>
              <w:t xml:space="preserve">Orthodontic Elastics – Assorted Sizes (Box of 500)</w:t>
            </w:r>
          </w:p>
        </w:tc>
        <w:tc>
          <w:tcPr/>
          <w:p>
            <w:pPr>
              <w:pStyle w:val="Compact"/>
              <w:jc w:val="left"/>
            </w:pPr>
            <w:r>
              <w:t xml:space="preserve">OE-ASSORT-500</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5,700.00</w:t>
            </w:r>
          </w:p>
        </w:tc>
        <w:tc>
          <w:tcPr/>
          <w:p>
            <w:pPr>
              <w:pStyle w:val="Compact"/>
              <w:jc w:val="left"/>
            </w:pPr>
            <w:r>
              <w:t xml:space="preserve">Class II &amp; Class III correction elastics</w:t>
            </w:r>
          </w:p>
        </w:tc>
      </w:tr>
      <w:tr>
        <w:tc>
          <w:tcPr/>
          <w:p>
            <w:pPr>
              <w:pStyle w:val="Compact"/>
              <w:jc w:val="left"/>
            </w:pPr>
            <w:r>
              <w:t xml:space="preserve">7</w:t>
            </w:r>
          </w:p>
        </w:tc>
        <w:tc>
          <w:tcPr/>
          <w:p>
            <w:pPr>
              <w:pStyle w:val="Compact"/>
              <w:jc w:val="left"/>
            </w:pPr>
            <w:r>
              <w:t xml:space="preserve">Digital Intraoral Scanner – 3Shape TRIOS 5</w:t>
            </w:r>
          </w:p>
        </w:tc>
        <w:tc>
          <w:tcPr/>
          <w:p>
            <w:pPr>
              <w:pStyle w:val="Compact"/>
              <w:jc w:val="left"/>
            </w:pPr>
            <w:r>
              <w:t xml:space="preserve">3S-TRIOS5-01</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For digital workflow in</w:t>
            </w:r>
            <w:r>
              <w:t xml:space="preserve"> </w:t>
            </w:r>
            <w:r>
              <w:t xml:space="preserve">Orthodontist</w:t>
            </w:r>
            <w:r>
              <w:t xml:space="preserve"> </w:t>
            </w:r>
            <w:r>
              <w:t xml:space="preserve">practice</w:t>
            </w:r>
          </w:p>
        </w:tc>
      </w:tr>
      <w:tr>
        <w:tc>
          <w:tcPr/>
          <w:p>
            <w:pPr>
              <w:pStyle w:val="Compact"/>
              <w:jc w:val="left"/>
            </w:pPr>
            <w:r>
              <w:t xml:space="preserve">8</w:t>
            </w:r>
          </w:p>
        </w:tc>
        <w:tc>
          <w:tcPr/>
          <w:p>
            <w:pPr>
              <w:pStyle w:val="Compact"/>
              <w:jc w:val="left"/>
            </w:pPr>
            <w:r>
              <w:t xml:space="preserve">CBCT Imaging Software Licence – Ortho Module (Annual)</w:t>
            </w:r>
          </w:p>
        </w:tc>
        <w:tc>
          <w:tcPr/>
          <w:p>
            <w:pPr>
              <w:pStyle w:val="Compact"/>
              <w:jc w:val="left"/>
            </w:pPr>
            <w:r>
              <w:t xml:space="preserve">CBCT-ORTHO-AN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Surgical planning for impacted teeth</w:t>
            </w:r>
          </w:p>
        </w:tc>
      </w:tr>
      <w:tr>
        <w:tc>
          <w:tcPr/>
          <w:p>
            <w:pPr>
              <w:pStyle w:val="Compact"/>
              <w:jc w:val="left"/>
            </w:pPr>
            <w:r>
              <w:t xml:space="preserve">9</w:t>
            </w:r>
          </w:p>
        </w:tc>
        <w:tc>
          <w:tcPr/>
          <w:p>
            <w:pPr>
              <w:pStyle w:val="Compact"/>
              <w:jc w:val="left"/>
            </w:pPr>
            <w:r>
              <w:t xml:space="preserve">Orthodontic Wax &amp; Patient Care Kits (Retail Pack)</w:t>
            </w:r>
          </w:p>
        </w:tc>
        <w:tc>
          <w:tcPr/>
          <w:p>
            <w:pPr>
              <w:pStyle w:val="Compact"/>
              <w:jc w:val="left"/>
            </w:pPr>
            <w:r>
              <w:t xml:space="preserve">OW-PC-RET</w:t>
            </w:r>
          </w:p>
        </w:tc>
        <w:tc>
          <w:tcPr/>
          <w:p>
            <w:pPr>
              <w:pStyle w:val="Compact"/>
              <w:jc w:val="left"/>
            </w:pPr>
            <w:r>
              <w:t xml:space="preserve">200</w:t>
            </w:r>
          </w:p>
        </w:tc>
        <w:tc>
          <w:tcPr/>
          <w:p>
            <w:pPr>
              <w:pStyle w:val="Compact"/>
              <w:jc w:val="left"/>
            </w:pPr>
            <w:r>
              <w:t xml:space="preserve">12.00</w:t>
            </w:r>
          </w:p>
        </w:tc>
        <w:tc>
          <w:tcPr/>
          <w:p>
            <w:pPr>
              <w:pStyle w:val="Compact"/>
              <w:jc w:val="left"/>
            </w:pPr>
            <w:r>
              <w:t xml:space="preserve">2,400.00</w:t>
            </w:r>
          </w:p>
        </w:tc>
        <w:tc>
          <w:tcPr/>
          <w:p>
            <w:pPr>
              <w:pStyle w:val="Compact"/>
              <w:jc w:val="left"/>
            </w:pPr>
            <w:r>
              <w:t xml:space="preserve">For patient comfort during treatment</w:t>
            </w:r>
          </w:p>
        </w:tc>
      </w:tr>
      <w:tr>
        <w:tc>
          <w:tcPr/>
          <w:p>
            <w:pPr>
              <w:pStyle w:val="Compact"/>
              <w:jc w:val="left"/>
            </w:pPr>
            <w:r>
              <w:t xml:space="preserve">10</w:t>
            </w:r>
          </w:p>
        </w:tc>
        <w:tc>
          <w:tcPr/>
          <w:p>
            <w:pPr>
              <w:pStyle w:val="Compact"/>
              <w:jc w:val="left"/>
            </w:pPr>
            <w:r>
              <w:t xml:space="preserve">Retainer – Hawley Type (Per Set, Upper &amp; Lower)</w:t>
            </w:r>
          </w:p>
        </w:tc>
        <w:tc>
          <w:tcPr/>
          <w:p>
            <w:pPr>
              <w:pStyle w:val="Compact"/>
              <w:jc w:val="left"/>
            </w:pPr>
            <w:r>
              <w:t xml:space="preserve">RET-HAW-UL</w:t>
            </w:r>
          </w:p>
        </w:tc>
        <w:tc>
          <w:tcPr/>
          <w:p>
            <w:pPr>
              <w:pStyle w:val="Compact"/>
              <w:jc w:val="left"/>
            </w:pPr>
            <w:r>
              <w:t xml:space="preserve">100</w:t>
            </w:r>
          </w:p>
        </w:tc>
        <w:tc>
          <w:tcPr/>
          <w:p>
            <w:pPr>
              <w:pStyle w:val="Compact"/>
              <w:jc w:val="left"/>
            </w:pPr>
            <w:r>
              <w:t xml:space="preserve">85.00</w:t>
            </w:r>
          </w:p>
        </w:tc>
        <w:tc>
          <w:tcPr/>
          <w:p>
            <w:pPr>
              <w:pStyle w:val="Compact"/>
              <w:jc w:val="left"/>
            </w:pPr>
            <w:r>
              <w:t xml:space="preserve">8,500.00</w:t>
            </w:r>
          </w:p>
        </w:tc>
        <w:tc>
          <w:tcPr/>
          <w:p>
            <w:pPr>
              <w:pStyle w:val="Compact"/>
              <w:jc w:val="left"/>
            </w:pPr>
            <w:r>
              <w:t xml:space="preserve">Post-treatment retention for</w:t>
            </w:r>
            <w:r>
              <w:t xml:space="preserve"> </w:t>
            </w:r>
            <w:r>
              <w:t xml:space="preserve">Orthodontist</w:t>
            </w:r>
            <w:r>
              <w:t xml:space="preserve"> </w:t>
            </w:r>
            <w:r>
              <w:t xml:space="preserve">patients</w:t>
            </w:r>
          </w:p>
        </w:tc>
      </w:tr>
      <w:tr>
        <w:tc>
          <w:tcPr>
            <w:gridSpan w:val="5"/>
          </w:tcPr>
          <w:p>
            <w:pPr>
              <w:pStyle w:val="Compact"/>
              <w:jc w:val="left"/>
            </w:pPr>
            <w:r>
              <w:rPr>
                <w:bCs/>
                <w:b/>
              </w:rPr>
              <w:t xml:space="preserve">Subtotal (MYR):</w:t>
            </w:r>
          </w:p>
        </w:tc>
        <w:tc>
          <w:tcPr/>
          <w:p>
            <w:pPr>
              <w:pStyle w:val="Compact"/>
              <w:jc w:val="left"/>
            </w:pPr>
            <w:r>
              <w:rPr>
                <w:bCs/>
                <w:b/>
              </w:rPr>
              <w:t xml:space="preserve">312,800.00</w:t>
            </w:r>
          </w:p>
        </w:tc>
        <w:tc>
          <w:tcPr/>
          <w:p>
            <w:pPr>
              <w:pStyle w:val="Compact"/>
            </w:pPr>
          </w:p>
        </w:tc>
      </w:tr>
      <w:tr>
        <w:tc>
          <w:tcPr>
            <w:gridSpan w:val="5"/>
          </w:tcPr>
          <w:p>
            <w:pPr>
              <w:pStyle w:val="Compact"/>
              <w:jc w:val="left"/>
            </w:pPr>
            <w:r>
              <w:rPr>
                <w:bCs/>
                <w:b/>
              </w:rPr>
              <w:t xml:space="preserve">SST (6%):</w:t>
            </w:r>
          </w:p>
        </w:tc>
        <w:tc>
          <w:tcPr/>
          <w:p>
            <w:pPr>
              <w:pStyle w:val="Compact"/>
              <w:jc w:val="left"/>
            </w:pPr>
            <w:r>
              <w:rPr>
                <w:bCs/>
                <w:b/>
              </w:rPr>
              <w:t xml:space="preserve">18,768.00</w:t>
            </w:r>
          </w:p>
        </w:tc>
        <w:tc>
          <w:tcPr/>
          <w:p>
            <w:pPr>
              <w:pStyle w:val="Compact"/>
            </w:pPr>
          </w:p>
        </w:tc>
      </w:tr>
      <w:tr>
        <w:tc>
          <w:tcPr>
            <w:gridSpan w:val="5"/>
          </w:tcPr>
          <w:p>
            <w:pPr>
              <w:pStyle w:val="Compact"/>
              <w:jc w:val="left"/>
            </w:pPr>
            <w:r>
              <w:rPr>
                <w:bCs/>
                <w:b/>
              </w:rPr>
              <w:t xml:space="preserve">Freight &amp; Delivery (within</w:t>
            </w:r>
            <w:r>
              <w:rPr>
                <w:bCs/>
                <w:b/>
              </w:rPr>
              <w:t xml:space="preserve"> </w:t>
            </w:r>
            <w:r>
              <w:rPr>
                <w:bCs/>
                <w:b/>
              </w:rPr>
              <w:t xml:space="preserve">Malaysia Kuala Lumpur</w:t>
            </w:r>
            <w:r>
              <w:rPr>
                <w:bCs/>
                <w:b/>
              </w:rPr>
              <w:t xml:space="preserve">):</w:t>
            </w:r>
          </w:p>
        </w:tc>
        <w:tc>
          <w:tcPr/>
          <w:p>
            <w:pPr>
              <w:pStyle w:val="Compact"/>
              <w:jc w:val="left"/>
            </w:pPr>
            <w:r>
              <w:rPr>
                <w:bCs/>
                <w:b/>
              </w:rPr>
              <w:t xml:space="preserve">1,500.00</w:t>
            </w:r>
          </w:p>
        </w:tc>
        <w:tc>
          <w:tcPr/>
          <w:p>
            <w:pPr>
              <w:pStyle w:val="Compact"/>
            </w:pPr>
          </w:p>
        </w:tc>
      </w:tr>
      <w:tr>
        <w:tc>
          <w:tcPr>
            <w:gridSpan w:val="5"/>
          </w:tcPr>
          <w:p>
            <w:pPr>
              <w:pStyle w:val="Compact"/>
              <w:jc w:val="left"/>
            </w:pPr>
            <w:r>
              <w:rPr>
                <w:bCs/>
                <w:b/>
              </w:rPr>
              <w:t xml:space="preserve">TOTAL AMOUNT DUE (MYR):</w:t>
            </w:r>
          </w:p>
        </w:tc>
        <w:tc>
          <w:tcPr/>
          <w:p>
            <w:pPr>
              <w:pStyle w:val="Compact"/>
              <w:jc w:val="left"/>
            </w:pPr>
            <w:r>
              <w:rPr>
                <w:bCs/>
                <w:b/>
              </w:rPr>
              <w:t xml:space="preserve">333,068.00</w:t>
            </w:r>
          </w:p>
        </w:tc>
        <w:tc>
          <w:tcPr/>
          <w:p>
            <w:pPr>
              <w:pStyle w:val="Compact"/>
            </w:pPr>
          </w:p>
        </w:tc>
      </w:tr>
    </w:tbl>
    <w:p>
      <w:pPr>
        <w:pStyle w:val="BodyText"/>
      </w:pPr>
      <w:r>
        <w:t xml:space="preserve">Delivery &amp; Logistics</w:t>
      </w:r>
    </w:p>
    <w:p>
      <w:pPr>
        <w:pStyle w:val="BodyText"/>
      </w:pPr>
      <w:r>
        <w:t xml:space="preserve">This</w:t>
      </w:r>
      <w:r>
        <w:t xml:space="preserve"> </w:t>
      </w:r>
      <w:r>
        <w:t xml:space="preserve">Purchase Order</w:t>
      </w:r>
      <w:r>
        <w:t xml:space="preserve"> </w:t>
      </w:r>
      <w:r>
        <w:t xml:space="preserve">requires all items to be delivered to the</w:t>
      </w:r>
      <w:r>
        <w:t xml:space="preserve"> </w:t>
      </w:r>
      <w:r>
        <w:t xml:space="preserve">Orthodontist</w:t>
      </w:r>
      <w:r>
        <w:t xml:space="preserve"> </w:t>
      </w:r>
      <w:r>
        <w:t xml:space="preserve">clinic premises at Level 12, Menara KL Sentral,</w:t>
      </w:r>
      <w:r>
        <w:t xml:space="preserve"> </w:t>
      </w:r>
      <w:r>
        <w:t xml:space="preserve">Malaysia Kuala Lumpur</w:t>
      </w:r>
      <w:r>
        <w:t xml:space="preserve">, no later than 28 June 2025. The supplier shall coordinate delivery with the clinic's operations manager, Ms. Nurul Huda, at least 48 hours prior to the scheduled delivery date. All orthodontic materials must be stored in temperature-controlled packaging to ensure the integrity of bonding agents and NiTi archwires. The digital intraoral scanner (Item 7) shall be delivered with a dedicated technician for installation, calibration, and staff training at the</w:t>
      </w:r>
      <w:r>
        <w:t xml:space="preserve"> </w:t>
      </w:r>
      <w:r>
        <w:t xml:space="preserve">Malaysia Kuala Lumpur</w:t>
      </w:r>
      <w:r>
        <w:t xml:space="preserve"> </w:t>
      </w:r>
      <w:r>
        <w:t xml:space="preserve">clinic location.</w:t>
      </w:r>
    </w:p>
    <w:p>
      <w:pPr>
        <w:pStyle w:val="BodyText"/>
      </w:pPr>
      <w:r>
        <w:t xml:space="preserve">Payment Terms &amp; Conditions</w:t>
      </w:r>
    </w:p>
    <w:p>
      <w:pPr>
        <w:numPr>
          <w:ilvl w:val="0"/>
          <w:numId w:val="1001"/>
        </w:numPr>
        <w:pStyle w:val="Compact"/>
      </w:pPr>
      <w:r>
        <w:t xml:space="preserve">Payment shall be made via bank transfer to the supplier's designated account within thirty (30) calendar days from the date of invoice issuance, subject to satisfactory receipt and inspection of all goods listed in this</w:t>
      </w:r>
      <w:r>
        <w:t xml:space="preserve"> </w:t>
      </w:r>
      <w:r>
        <w:t xml:space="preserve">Purchase Order</w:t>
      </w:r>
      <w:r>
        <w:t xml:space="preserve">.</w:t>
      </w:r>
    </w:p>
    <w:p>
      <w:pPr>
        <w:numPr>
          <w:ilvl w:val="0"/>
          <w:numId w:val="1001"/>
        </w:numPr>
        <w:pStyle w:val="Compact"/>
      </w:pPr>
      <w:r>
        <w:t xml:space="preserve">Bank: Maybank Berhad | Account Name: DentalPro Asia Sdn. Bhd. | Account No: 5123-4567-8901 | SWIFT: BMMBMYKL</w:t>
      </w:r>
    </w:p>
    <w:p>
      <w:pPr>
        <w:numPr>
          <w:ilvl w:val="0"/>
          <w:numId w:val="1001"/>
        </w:numPr>
        <w:pStyle w:val="Compact"/>
      </w:pPr>
      <w:r>
        <w:t xml:space="preserve">A late payment penalty of 2% per month shall apply to any outstanding balance beyond the agreed payment term.</w:t>
      </w:r>
    </w:p>
    <w:p>
      <w:pPr>
        <w:numPr>
          <w:ilvl w:val="0"/>
          <w:numId w:val="1001"/>
        </w:numPr>
        <w:pStyle w:val="Compact"/>
      </w:pPr>
      <w:r>
        <w:t xml:space="preserve">All prices are quoted in Malaysian Ringgit (MYR) and are inclusive of applicable Sales and Service Tax (SST) as per the</w:t>
      </w:r>
      <w:r>
        <w:t xml:space="preserve"> </w:t>
      </w:r>
      <w:r>
        <w:t xml:space="preserve">Malaysia</w:t>
      </w:r>
      <w:r>
        <w:t xml:space="preserve"> </w:t>
      </w:r>
      <w:r>
        <w:t xml:space="preserve">tax regulations.</w:t>
      </w:r>
    </w:p>
    <w:p>
      <w:pPr>
        <w:numPr>
          <w:ilvl w:val="0"/>
          <w:numId w:val="1001"/>
        </w:numPr>
        <w:pStyle w:val="Compact"/>
      </w:pPr>
      <w:r>
        <w:t xml:space="preserve">The</w:t>
      </w:r>
      <w:r>
        <w:t xml:space="preserve"> </w:t>
      </w:r>
      <w:r>
        <w:t xml:space="preserve">Orthodontist</w:t>
      </w:r>
      <w:r>
        <w:t xml:space="preserve"> </w:t>
      </w:r>
      <w:r>
        <w:t xml:space="preserve">practice reserves the right to reject any items that do not meet the specified quality standards, are damaged in transit, or do not conform to the descriptions in this</w:t>
      </w:r>
      <w:r>
        <w:t xml:space="preserve"> </w:t>
      </w:r>
      <w:r>
        <w:t xml:space="preserve">Purchase Order</w:t>
      </w:r>
      <w:r>
        <w:t xml:space="preserve">.</w:t>
      </w:r>
    </w:p>
    <w:p>
      <w:pPr>
        <w:numPr>
          <w:ilvl w:val="0"/>
          <w:numId w:val="1001"/>
        </w:numPr>
        <w:pStyle w:val="Compact"/>
      </w:pPr>
      <w:r>
        <w:t xml:space="preserve">Warranty: All orthodontic equipment and devices carry a minimum 12-month manufacturer's warranty. The digital intraoral scanner carries a 24-month warranty with on-site service in</w:t>
      </w:r>
      <w:r>
        <w:t xml:space="preserve"> </w:t>
      </w:r>
      <w:r>
        <w:t xml:space="preserve">Malaysia Kuala Lumpur</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the laws of the</w:t>
      </w:r>
      <w:r>
        <w:t xml:space="preserve"> </w:t>
      </w:r>
      <w:r>
        <w:t xml:space="preserve">Malaysia</w:t>
      </w:r>
      <w:r>
        <w:t xml:space="preserve"> </w:t>
      </w:r>
      <w:r>
        <w:t xml:space="preserve">and any disputes shall be resolved through the courts of</w:t>
      </w:r>
      <w:r>
        <w:t xml:space="preserve"> </w:t>
      </w:r>
      <w:r>
        <w:t xml:space="preserve">Malaysia Kuala Lumpur</w:t>
      </w:r>
      <w:r>
        <w:t xml:space="preserve">.</w:t>
      </w:r>
    </w:p>
    <w:p>
      <w:pPr>
        <w:numPr>
          <w:ilvl w:val="0"/>
          <w:numId w:val="1001"/>
        </w:numPr>
        <w:pStyle w:val="Compact"/>
      </w:pPr>
      <w:r>
        <w:t xml:space="preserve">Partial deliveries are not permitted unless expressly agreed in writing by both parties.</w:t>
      </w:r>
    </w:p>
    <w:p>
      <w:pPr>
        <w:pStyle w:val="FirstParagraph"/>
      </w:pPr>
      <w:r>
        <w:t xml:space="preserve">Authorisation &amp; Signatures</w:t>
      </w:r>
    </w:p>
    <w:p>
      <w:pPr>
        <w:pStyle w:val="BodyText"/>
      </w:pPr>
      <w:r>
        <w:rPr>
          <w:bCs/>
          <w:b/>
        </w:rPr>
        <w:t xml:space="preserve">Prepared By (Buyer):</w:t>
      </w:r>
      <w:r>
        <w:br/>
      </w:r>
      <w:r>
        <w:t xml:space="preserve">Dr. Aiman Farid, MDS (Ortho)</w:t>
      </w:r>
      <w:r>
        <w:br/>
      </w:r>
      <w:r>
        <w:t xml:space="preserve">Orthodontist</w:t>
      </w:r>
      <w:r>
        <w:t xml:space="preserve"> </w:t>
      </w:r>
      <w:r>
        <w:t xml:space="preserve">&amp; Practice Owner</w:t>
      </w:r>
      <w:r>
        <w:br/>
      </w:r>
      <w:r>
        <w:t xml:space="preserve">Date: 14 June 2025</w:t>
      </w:r>
    </w:p>
    <w:p>
      <w:pPr>
        <w:pStyle w:val="BodyText"/>
      </w:pPr>
      <w:r>
        <w:rPr>
          <w:bCs/>
          <w:b/>
        </w:rPr>
        <w:t xml:space="preserve">Accepted By (Supplier):</w:t>
      </w:r>
      <w:r>
        <w:br/>
      </w:r>
      <w:r>
        <w:t xml:space="preserve">Mr. Rajesh Kumar</w:t>
      </w:r>
      <w:r>
        <w:br/>
      </w:r>
      <w:r>
        <w:t xml:space="preserve">Sales Manager, DentalPro Asia Sdn. Bhd.</w:t>
      </w:r>
      <w:r>
        <w:br/>
      </w:r>
      <w:r>
        <w:t xml:space="preserve">Date: _______________</w:t>
      </w:r>
    </w:p>
    <w:p>
      <w:pPr>
        <w:pStyle w:val="BodyText"/>
      </w:pPr>
      <w:r>
        <w:t xml:space="preserve">This</w:t>
      </w:r>
      <w:r>
        <w:t xml:space="preserve"> </w:t>
      </w:r>
      <w:r>
        <w:t xml:space="preserve">Purchase Order</w:t>
      </w:r>
      <w:r>
        <w:t xml:space="preserve"> </w:t>
      </w:r>
      <w:r>
        <w:t xml:space="preserve">document is issued by Dr. Aiman Farid Orthodontic Specialist Centre,</w:t>
      </w:r>
      <w:r>
        <w:t xml:space="preserve"> </w:t>
      </w:r>
      <w:r>
        <w:t xml:space="preserve">Malaysia Kuala Lumpur</w:t>
      </w:r>
      <w:r>
        <w:t xml:space="preserve">.</w:t>
      </w:r>
      <w:r>
        <w:br/>
      </w:r>
      <w:r>
        <w:t xml:space="preserve">Document Reference: PO-ORTHO-KL-2025-0347 | Version 1.0 | Confidential – For Internal Use Only</w:t>
      </w:r>
      <w:r>
        <w:br/>
      </w:r>
      <w:r>
        <w:t xml:space="preserve">© 2025 Dr. Aiman Farid Orthodontic Specialist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Malaysia Kuala Lumpur</dc:title>
  <dc:creator/>
  <dc:language>en</dc:language>
  <cp:keywords/>
  <dcterms:created xsi:type="dcterms:W3CDTF">2026-10-10T02:00:34Z</dcterms:created>
  <dcterms:modified xsi:type="dcterms:W3CDTF">2026-10-10T02:00:34Z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