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Practice</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rPr>
          <w:bCs/>
          <w:b/>
        </w:rPr>
        <w:t xml:space="preserve">Dr. Ayesha Khan Orthodontic Clinic</w:t>
      </w:r>
    </w:p>
    <w:p>
      <w:pPr>
        <w:pStyle w:val="BodyText"/>
      </w:pPr>
      <w:r>
        <w:t xml:space="preserve">Plot 47-B, Clifton Block 5,</w:t>
      </w:r>
      <w:r>
        <w:t xml:space="preserve"> </w:t>
      </w:r>
      <w:r>
        <w:t xml:space="preserve">Pakistan Karachi</w:t>
      </w:r>
      <w:r>
        <w:t xml:space="preserve">, Sindh 75600</w:t>
      </w:r>
    </w:p>
    <w:p>
      <w:pPr>
        <w:pStyle w:val="BodyText"/>
      </w:pPr>
      <w:r>
        <w:t xml:space="preserve">Phone: +92-21-3587-4421 | Email: orders@ayeshakhanortho.pk | NTN: 7845123-6</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PO-ORTHO-KHI-2025-0147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50% Advance / 50% on Delivery</w:t>
      </w:r>
    </w:p>
    <w:p>
      <w:pPr>
        <w:pStyle w:val="BodyText"/>
      </w:pPr>
      <w:r>
        <w:rPr>
          <w:bCs/>
          <w:b/>
        </w:rPr>
        <w:t xml:space="preserve">Delivery Address:</w:t>
      </w:r>
      <w:r>
        <w:t xml:space="preserve"> </w:t>
      </w:r>
      <w:r>
        <w:t xml:space="preserve">Dr. Ayesha Khan Orthodontic Clinic, Clifton Block 5,</w:t>
      </w:r>
      <w:r>
        <w:t xml:space="preserve"> </w:t>
      </w:r>
      <w:r>
        <w:t xml:space="preserve">Pakistan Karachi</w:t>
      </w:r>
    </w:p>
    <w:bookmarkEnd w:id="21"/>
    <w:bookmarkStart w:id="22" w:name="supplier-information"/>
    <w:p>
      <w:pPr>
        <w:pStyle w:val="Heading3"/>
      </w:pPr>
      <w:r>
        <w:t xml:space="preserve">Supplier Information</w:t>
      </w:r>
    </w:p>
    <w:p>
      <w:pPr>
        <w:pStyle w:val="FirstParagraph"/>
      </w:pPr>
      <w:r>
        <w:rPr>
          <w:bCs/>
          <w:b/>
        </w:rPr>
        <w:t xml:space="preserve">Supplier Name:</w:t>
      </w:r>
      <w:r>
        <w:t xml:space="preserve"> </w:t>
      </w:r>
      <w:r>
        <w:t xml:space="preserve">MedDent Supplies (Pvt.) Ltd.</w:t>
      </w:r>
    </w:p>
    <w:p>
      <w:pPr>
        <w:pStyle w:val="BodyText"/>
      </w:pPr>
      <w:r>
        <w:rPr>
          <w:bCs/>
          <w:b/>
        </w:rPr>
        <w:t xml:space="preserve">Address:</w:t>
      </w:r>
      <w:r>
        <w:t xml:space="preserve"> </w:t>
      </w:r>
      <w:r>
        <w:t xml:space="preserve">12-A, I.I. Chundrigar Road,</w:t>
      </w:r>
      <w:r>
        <w:t xml:space="preserve"> </w:t>
      </w:r>
      <w:r>
        <w:t xml:space="preserve">Pakistan Karachi</w:t>
      </w:r>
      <w:r>
        <w:t xml:space="preserve">, Sindh 75530</w:t>
      </w:r>
    </w:p>
    <w:p>
      <w:pPr>
        <w:pStyle w:val="BodyText"/>
      </w:pPr>
      <w:r>
        <w:rPr>
          <w:bCs/>
          <w:b/>
        </w:rPr>
        <w:t xml:space="preserve">Contact Person:</w:t>
      </w:r>
      <w:r>
        <w:t xml:space="preserve"> </w:t>
      </w:r>
      <w:r>
        <w:t xml:space="preserve">Mr. Tariq Mehmood</w:t>
      </w:r>
    </w:p>
    <w:p>
      <w:pPr>
        <w:pStyle w:val="BodyText"/>
      </w:pPr>
      <w:r>
        <w:rPr>
          <w:bCs/>
          <w:b/>
        </w:rPr>
        <w:t xml:space="preserve">Phone:</w:t>
      </w:r>
      <w:r>
        <w:t xml:space="preserve"> </w:t>
      </w:r>
      <w:r>
        <w:t xml:space="preserve">+92-21-3242-8890</w:t>
      </w:r>
    </w:p>
    <w:p>
      <w:pPr>
        <w:pStyle w:val="BodyText"/>
      </w:pPr>
      <w:r>
        <w:rPr>
          <w:bCs/>
          <w:b/>
        </w:rPr>
        <w:t xml:space="preserve">Email:</w:t>
      </w:r>
      <w:r>
        <w:t xml:space="preserve"> </w:t>
      </w:r>
      <w:r>
        <w:t xml:space="preserve">sales@meddentsupplies.pk</w:t>
      </w:r>
    </w:p>
    <w:p>
      <w:pPr>
        <w:pStyle w:val="BodyText"/>
      </w:pPr>
      <w:r>
        <w:rPr>
          <w:bCs/>
          <w:b/>
        </w:rPr>
        <w:t xml:space="preserve">NTN:</w:t>
      </w:r>
      <w:r>
        <w:t xml:space="preserve"> </w:t>
      </w:r>
      <w:r>
        <w:t xml:space="preserve">6521987-3</w:t>
      </w:r>
    </w:p>
    <w:bookmarkEnd w:id="22"/>
    <w:p>
      <w:pPr>
        <w:pStyle w:val="BodyText"/>
      </w:pPr>
      <w:r>
        <w:t xml:space="preserve">This</w:t>
      </w:r>
      <w:r>
        <w:t xml:space="preserve"> </w:t>
      </w:r>
      <w:r>
        <w:t xml:space="preserve">Purchase Order</w:t>
      </w:r>
      <w:r>
        <w:t xml:space="preserve"> </w:t>
      </w:r>
      <w:r>
        <w:t xml:space="preserve">is issued by Dr. Ayesha Khan Orthodontic Clinic, a licensed</w:t>
      </w:r>
      <w:r>
        <w:t xml:space="preserve"> </w:t>
      </w:r>
      <w:r>
        <w:t xml:space="preserve">Orthodontist</w:t>
      </w:r>
      <w:r>
        <w:t xml:space="preserve"> </w:t>
      </w:r>
      <w:r>
        <w:t xml:space="preserve">practice operating in</w:t>
      </w:r>
      <w:r>
        <w:t xml:space="preserve"> </w:t>
      </w:r>
      <w:r>
        <w:t xml:space="preserve">Pakistan Karachi</w:t>
      </w:r>
      <w:r>
        <w:t xml:space="preserve">, for the procurement of orthodontic equipment, consumables, and clinical supplies. The supplier is hereby authorized to prepare and deliver the items listed below in accordance with the specifications, quantities, and terms stated herein. All goods must comply with the Pakistan Drug Regulatory Authority (PDRA) standards and the Pakistan Standards and Quality Control Authority (PSQCA) regulations applicable to medical and dental devices in</w:t>
      </w:r>
      <w:r>
        <w:t xml:space="preserve"> </w:t>
      </w:r>
      <w:r>
        <w:t xml:space="preserve">Pakistan Karachi</w:t>
      </w:r>
      <w:r>
        <w:t xml:space="preserv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Self-Ligating Orthodontic Brackets (Metal, 0.022" slot) – 32 pcs per set</w:t>
            </w:r>
          </w:p>
        </w:tc>
        <w:tc>
          <w:tcPr/>
          <w:p>
            <w:pPr>
              <w:pStyle w:val="Compact"/>
              <w:jc w:val="left"/>
            </w:pPr>
            <w:r>
              <w:t xml:space="preserve">25</w:t>
            </w:r>
          </w:p>
        </w:tc>
        <w:tc>
          <w:tcPr/>
          <w:p>
            <w:pPr>
              <w:pStyle w:val="Compact"/>
              <w:jc w:val="left"/>
            </w:pPr>
            <w:r>
              <w:t xml:space="preserve">Sets</w:t>
            </w:r>
          </w:p>
        </w:tc>
        <w:tc>
          <w:tcPr/>
          <w:p>
            <w:pPr>
              <w:pStyle w:val="Compact"/>
              <w:jc w:val="left"/>
            </w:pPr>
            <w:r>
              <w:t xml:space="preserve">18,500</w:t>
            </w:r>
          </w:p>
        </w:tc>
        <w:tc>
          <w:tcPr/>
          <w:p>
            <w:pPr>
              <w:pStyle w:val="Compact"/>
              <w:jc w:val="left"/>
            </w:pPr>
            <w:r>
              <w:t xml:space="preserve">462,500</w:t>
            </w:r>
          </w:p>
        </w:tc>
        <w:tc>
          <w:tcPr/>
          <w:p>
            <w:pPr>
              <w:pStyle w:val="Compact"/>
              <w:jc w:val="left"/>
            </w:pPr>
            <w:r>
              <w:t xml:space="preserve">For adult &amp; pediatric patients</w:t>
            </w:r>
          </w:p>
        </w:tc>
      </w:tr>
      <w:tr>
        <w:tc>
          <w:tcPr/>
          <w:p>
            <w:pPr>
              <w:pStyle w:val="Compact"/>
              <w:jc w:val="left"/>
            </w:pPr>
            <w:r>
              <w:t xml:space="preserve">2</w:t>
            </w:r>
          </w:p>
        </w:tc>
        <w:tc>
          <w:tcPr/>
          <w:p>
            <w:pPr>
              <w:pStyle w:val="Compact"/>
              <w:jc w:val="left"/>
            </w:pPr>
            <w:r>
              <w:t xml:space="preserve">NiTi Arch Wires (0.014" to 0.021" x 0.025") – Full set</w:t>
            </w:r>
          </w:p>
        </w:tc>
        <w:tc>
          <w:tcPr/>
          <w:p>
            <w:pPr>
              <w:pStyle w:val="Compact"/>
              <w:jc w:val="left"/>
            </w:pPr>
            <w:r>
              <w:t xml:space="preserve">40</w:t>
            </w:r>
          </w:p>
        </w:tc>
        <w:tc>
          <w:tcPr/>
          <w:p>
            <w:pPr>
              <w:pStyle w:val="Compact"/>
              <w:jc w:val="left"/>
            </w:pPr>
            <w:r>
              <w:t xml:space="preserve">Sets</w:t>
            </w:r>
          </w:p>
        </w:tc>
        <w:tc>
          <w:tcPr/>
          <w:p>
            <w:pPr>
              <w:pStyle w:val="Compact"/>
              <w:jc w:val="left"/>
            </w:pPr>
            <w:r>
              <w:t xml:space="preserve">6,200</w:t>
            </w:r>
          </w:p>
        </w:tc>
        <w:tc>
          <w:tcPr/>
          <w:p>
            <w:pPr>
              <w:pStyle w:val="Compact"/>
              <w:jc w:val="left"/>
            </w:pPr>
            <w:r>
              <w:t xml:space="preserve">248,000</w:t>
            </w:r>
          </w:p>
        </w:tc>
        <w:tc>
          <w:tcPr/>
          <w:p>
            <w:pPr>
              <w:pStyle w:val="Compact"/>
              <w:jc w:val="left"/>
            </w:pPr>
            <w:r>
              <w:t xml:space="preserve">Heat-activated type</w:t>
            </w:r>
          </w:p>
        </w:tc>
      </w:tr>
      <w:tr>
        <w:tc>
          <w:tcPr/>
          <w:p>
            <w:pPr>
              <w:pStyle w:val="Compact"/>
              <w:jc w:val="left"/>
            </w:pPr>
            <w:r>
              <w:t xml:space="preserve">3</w:t>
            </w:r>
          </w:p>
        </w:tc>
        <w:tc>
          <w:tcPr/>
          <w:p>
            <w:pPr>
              <w:pStyle w:val="Compact"/>
              <w:jc w:val="left"/>
            </w:pPr>
            <w:r>
              <w:t xml:space="preserve">Orthodontic Elastomeric Ligatures (Assorted Colors, 1000 pcs/bag)</w:t>
            </w:r>
          </w:p>
        </w:tc>
        <w:tc>
          <w:tcPr/>
          <w:p>
            <w:pPr>
              <w:pStyle w:val="Compact"/>
              <w:jc w:val="left"/>
            </w:pPr>
            <w:r>
              <w:t xml:space="preserve">60</w:t>
            </w:r>
          </w:p>
        </w:tc>
        <w:tc>
          <w:tcPr/>
          <w:p>
            <w:pPr>
              <w:pStyle w:val="Compact"/>
              <w:jc w:val="left"/>
            </w:pPr>
            <w:r>
              <w:t xml:space="preserve">Bags</w:t>
            </w:r>
          </w:p>
        </w:tc>
        <w:tc>
          <w:tcPr/>
          <w:p>
            <w:pPr>
              <w:pStyle w:val="Compact"/>
              <w:jc w:val="left"/>
            </w:pPr>
            <w:r>
              <w:t xml:space="preserve">1,850</w:t>
            </w:r>
          </w:p>
        </w:tc>
        <w:tc>
          <w:tcPr/>
          <w:p>
            <w:pPr>
              <w:pStyle w:val="Compact"/>
              <w:jc w:val="left"/>
            </w:pPr>
            <w:r>
              <w:t xml:space="preserve">111,000</w:t>
            </w:r>
          </w:p>
        </w:tc>
        <w:tc>
          <w:tcPr/>
          <w:p>
            <w:pPr>
              <w:pStyle w:val="Compact"/>
              <w:jc w:val="left"/>
            </w:pPr>
            <w:r>
              <w:t xml:space="preserve">Standard &amp; power chain</w:t>
            </w:r>
          </w:p>
        </w:tc>
      </w:tr>
      <w:tr>
        <w:tc>
          <w:tcPr/>
          <w:p>
            <w:pPr>
              <w:pStyle w:val="Compact"/>
              <w:jc w:val="left"/>
            </w:pPr>
            <w:r>
              <w:t xml:space="preserve">4</w:t>
            </w:r>
          </w:p>
        </w:tc>
        <w:tc>
          <w:tcPr/>
          <w:p>
            <w:pPr>
              <w:pStyle w:val="Compact"/>
              <w:jc w:val="left"/>
            </w:pPr>
            <w:r>
              <w:t xml:space="preserve">Ceramic Brackets (Aesthetic, 0.022" slot) – 32 pcs per set</w:t>
            </w:r>
          </w:p>
        </w:tc>
        <w:tc>
          <w:tcPr/>
          <w:p>
            <w:pPr>
              <w:pStyle w:val="Compact"/>
              <w:jc w:val="left"/>
            </w:pPr>
            <w:r>
              <w:t xml:space="preserve">15</w:t>
            </w:r>
          </w:p>
        </w:tc>
        <w:tc>
          <w:tcPr/>
          <w:p>
            <w:pPr>
              <w:pStyle w:val="Compact"/>
              <w:jc w:val="left"/>
            </w:pPr>
            <w:r>
              <w:t xml:space="preserve">Sets</w:t>
            </w:r>
          </w:p>
        </w:tc>
        <w:tc>
          <w:tcPr/>
          <w:p>
            <w:pPr>
              <w:pStyle w:val="Compact"/>
              <w:jc w:val="left"/>
            </w:pPr>
            <w:r>
              <w:t xml:space="preserve">32,000</w:t>
            </w:r>
          </w:p>
        </w:tc>
        <w:tc>
          <w:tcPr/>
          <w:p>
            <w:pPr>
              <w:pStyle w:val="Compact"/>
              <w:jc w:val="left"/>
            </w:pPr>
            <w:r>
              <w:t xml:space="preserve">480,000</w:t>
            </w:r>
          </w:p>
        </w:tc>
        <w:tc>
          <w:tcPr/>
          <w:p>
            <w:pPr>
              <w:pStyle w:val="Compact"/>
              <w:jc w:val="left"/>
            </w:pPr>
            <w:r>
              <w:t xml:space="preserve">For cosmetic orthodontic cases</w:t>
            </w:r>
          </w:p>
        </w:tc>
      </w:tr>
      <w:tr>
        <w:tc>
          <w:tcPr/>
          <w:p>
            <w:pPr>
              <w:pStyle w:val="Compact"/>
              <w:jc w:val="left"/>
            </w:pPr>
            <w:r>
              <w:t xml:space="preserve">5</w:t>
            </w:r>
          </w:p>
        </w:tc>
        <w:tc>
          <w:tcPr/>
          <w:p>
            <w:pPr>
              <w:pStyle w:val="Compact"/>
              <w:jc w:val="left"/>
            </w:pPr>
            <w:r>
              <w:t xml:space="preserve">Orthodontic Bonding Agent &amp; Etchant Kit (50 ml each)</w:t>
            </w:r>
          </w:p>
        </w:tc>
        <w:tc>
          <w:tcPr/>
          <w:p>
            <w:pPr>
              <w:pStyle w:val="Compact"/>
              <w:jc w:val="left"/>
            </w:pPr>
            <w:r>
              <w:t xml:space="preserve">20</w:t>
            </w:r>
          </w:p>
        </w:tc>
        <w:tc>
          <w:tcPr/>
          <w:p>
            <w:pPr>
              <w:pStyle w:val="Compact"/>
              <w:jc w:val="left"/>
            </w:pPr>
            <w:r>
              <w:t xml:space="preserve">Kits</w:t>
            </w:r>
          </w:p>
        </w:tc>
        <w:tc>
          <w:tcPr/>
          <w:p>
            <w:pPr>
              <w:pStyle w:val="Compact"/>
              <w:jc w:val="left"/>
            </w:pPr>
            <w:r>
              <w:t xml:space="preserve">4,500</w:t>
            </w:r>
          </w:p>
        </w:tc>
        <w:tc>
          <w:tcPr/>
          <w:p>
            <w:pPr>
              <w:pStyle w:val="Compact"/>
              <w:jc w:val="left"/>
            </w:pPr>
            <w:r>
              <w:t xml:space="preserve">90,000</w:t>
            </w:r>
          </w:p>
        </w:tc>
        <w:tc>
          <w:tcPr/>
          <w:p>
            <w:pPr>
              <w:pStyle w:val="Compact"/>
              <w:jc w:val="left"/>
            </w:pPr>
            <w:r>
              <w:t xml:space="preserve">PDRA approved</w:t>
            </w:r>
          </w:p>
        </w:tc>
      </w:tr>
      <w:tr>
        <w:tc>
          <w:tcPr/>
          <w:p>
            <w:pPr>
              <w:pStyle w:val="Compact"/>
              <w:jc w:val="left"/>
            </w:pPr>
            <w:r>
              <w:t xml:space="preserve">6</w:t>
            </w:r>
          </w:p>
        </w:tc>
        <w:tc>
          <w:tcPr/>
          <w:p>
            <w:pPr>
              <w:pStyle w:val="Compact"/>
              <w:jc w:val="left"/>
            </w:pPr>
            <w:r>
              <w:t xml:space="preserve">Clear Aligner Trays (Thermoform, 0.75 mm) – 50 pcs</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12,000</w:t>
            </w:r>
          </w:p>
        </w:tc>
        <w:tc>
          <w:tcPr/>
          <w:p>
            <w:pPr>
              <w:pStyle w:val="Compact"/>
              <w:jc w:val="left"/>
            </w:pPr>
            <w:r>
              <w:t xml:space="preserve">120,000</w:t>
            </w:r>
          </w:p>
        </w:tc>
        <w:tc>
          <w:tcPr/>
          <w:p>
            <w:pPr>
              <w:pStyle w:val="Compact"/>
              <w:jc w:val="left"/>
            </w:pPr>
            <w:r>
              <w:t xml:space="preserve">For Invisalign-type treatment</w:t>
            </w:r>
          </w:p>
        </w:tc>
      </w:tr>
      <w:tr>
        <w:tc>
          <w:tcPr/>
          <w:p>
            <w:pPr>
              <w:pStyle w:val="Compact"/>
              <w:jc w:val="left"/>
            </w:pPr>
            <w:r>
              <w:t xml:space="preserve">7</w:t>
            </w:r>
          </w:p>
        </w:tc>
        <w:tc>
          <w:tcPr/>
          <w:p>
            <w:pPr>
              <w:pStyle w:val="Compact"/>
              <w:jc w:val="left"/>
            </w:pPr>
            <w:r>
              <w:t xml:space="preserve">Orthodontic Impression Material (Polyvinyl Siloxane, 500 ml)</w:t>
            </w:r>
          </w:p>
        </w:tc>
        <w:tc>
          <w:tcPr/>
          <w:p>
            <w:pPr>
              <w:pStyle w:val="Compact"/>
              <w:jc w:val="left"/>
            </w:pPr>
            <w:r>
              <w:t xml:space="preserve">30</w:t>
            </w:r>
          </w:p>
        </w:tc>
        <w:tc>
          <w:tcPr/>
          <w:p>
            <w:pPr>
              <w:pStyle w:val="Compact"/>
              <w:jc w:val="left"/>
            </w:pPr>
            <w:r>
              <w:t xml:space="preserve">Bottles</w:t>
            </w:r>
          </w:p>
        </w:tc>
        <w:tc>
          <w:tcPr/>
          <w:p>
            <w:pPr>
              <w:pStyle w:val="Compact"/>
              <w:jc w:val="left"/>
            </w:pPr>
            <w:r>
              <w:t xml:space="preserve">7,800</w:t>
            </w:r>
          </w:p>
        </w:tc>
        <w:tc>
          <w:tcPr/>
          <w:p>
            <w:pPr>
              <w:pStyle w:val="Compact"/>
              <w:jc w:val="left"/>
            </w:pPr>
            <w:r>
              <w:t xml:space="preserve">234,000</w:t>
            </w:r>
          </w:p>
        </w:tc>
        <w:tc>
          <w:tcPr/>
          <w:p>
            <w:pPr>
              <w:pStyle w:val="Compact"/>
              <w:jc w:val="left"/>
            </w:pPr>
            <w:r>
              <w:t xml:space="preserve">Heavy body &amp; light body</w:t>
            </w:r>
          </w:p>
        </w:tc>
      </w:tr>
      <w:tr>
        <w:tc>
          <w:tcPr/>
          <w:p>
            <w:pPr>
              <w:pStyle w:val="Compact"/>
              <w:jc w:val="left"/>
            </w:pPr>
            <w:r>
              <w:t xml:space="preserve">8</w:t>
            </w:r>
          </w:p>
        </w:tc>
        <w:tc>
          <w:tcPr/>
          <w:p>
            <w:pPr>
              <w:pStyle w:val="Compact"/>
              <w:jc w:val="left"/>
            </w:pPr>
            <w:r>
              <w:t xml:space="preserve">Interproximal Reduction (IPR) Strips (Assorted Grits)</w:t>
            </w:r>
          </w:p>
        </w:tc>
        <w:tc>
          <w:tcPr/>
          <w:p>
            <w:pPr>
              <w:pStyle w:val="Compact"/>
              <w:jc w:val="left"/>
            </w:pPr>
            <w:r>
              <w:t xml:space="preserve">50</w:t>
            </w:r>
          </w:p>
        </w:tc>
        <w:tc>
          <w:tcPr/>
          <w:p>
            <w:pPr>
              <w:pStyle w:val="Compact"/>
              <w:jc w:val="left"/>
            </w:pPr>
            <w:r>
              <w:t xml:space="preserve">Packs</w:t>
            </w:r>
          </w:p>
        </w:tc>
        <w:tc>
          <w:tcPr/>
          <w:p>
            <w:pPr>
              <w:pStyle w:val="Compact"/>
              <w:jc w:val="left"/>
            </w:pPr>
            <w:r>
              <w:t xml:space="preserve">2,200</w:t>
            </w:r>
          </w:p>
        </w:tc>
        <w:tc>
          <w:tcPr/>
          <w:p>
            <w:pPr>
              <w:pStyle w:val="Compact"/>
              <w:jc w:val="left"/>
            </w:pPr>
            <w:r>
              <w:t xml:space="preserve">110,000</w:t>
            </w:r>
          </w:p>
        </w:tc>
        <w:tc>
          <w:tcPr/>
          <w:p>
            <w:pPr>
              <w:pStyle w:val="Compact"/>
              <w:jc w:val="left"/>
            </w:pPr>
            <w:r>
              <w:t xml:space="preserve">For space management</w:t>
            </w:r>
          </w:p>
        </w:tc>
      </w:tr>
      <w:tr>
        <w:tc>
          <w:tcPr/>
          <w:p>
            <w:pPr>
              <w:pStyle w:val="Compact"/>
              <w:jc w:val="left"/>
            </w:pPr>
            <w:r>
              <w:t xml:space="preserve">9</w:t>
            </w:r>
          </w:p>
        </w:tc>
        <w:tc>
          <w:tcPr/>
          <w:p>
            <w:pPr>
              <w:pStyle w:val="Compact"/>
              <w:jc w:val="left"/>
            </w:pPr>
            <w:r>
              <w:t xml:space="preserve">Orthodontic Headgear (Adjustable, with facebow)</w:t>
            </w:r>
          </w:p>
        </w:tc>
        <w:tc>
          <w:tcPr/>
          <w:p>
            <w:pPr>
              <w:pStyle w:val="Compact"/>
              <w:jc w:val="left"/>
            </w:pPr>
            <w:r>
              <w:t xml:space="preserve">8</w:t>
            </w:r>
          </w:p>
        </w:tc>
        <w:tc>
          <w:tcPr/>
          <w:p>
            <w:pPr>
              <w:pStyle w:val="Compact"/>
              <w:jc w:val="left"/>
            </w:pPr>
            <w:r>
              <w:t xml:space="preserve">Units</w:t>
            </w:r>
          </w:p>
        </w:tc>
        <w:tc>
          <w:tcPr/>
          <w:p>
            <w:pPr>
              <w:pStyle w:val="Compact"/>
              <w:jc w:val="left"/>
            </w:pPr>
            <w:r>
              <w:t xml:space="preserve">15,500</w:t>
            </w:r>
          </w:p>
        </w:tc>
        <w:tc>
          <w:tcPr/>
          <w:p>
            <w:pPr>
              <w:pStyle w:val="Compact"/>
              <w:jc w:val="left"/>
            </w:pPr>
            <w:r>
              <w:t xml:space="preserve">124,000</w:t>
            </w:r>
          </w:p>
        </w:tc>
        <w:tc>
          <w:tcPr/>
          <w:p>
            <w:pPr>
              <w:pStyle w:val="Compact"/>
              <w:jc w:val="left"/>
            </w:pPr>
            <w:r>
              <w:t xml:space="preserve">For Class II correction</w:t>
            </w:r>
          </w:p>
        </w:tc>
      </w:tr>
      <w:tr>
        <w:tc>
          <w:tcPr/>
          <w:p>
            <w:pPr>
              <w:pStyle w:val="Compact"/>
              <w:jc w:val="left"/>
            </w:pPr>
            <w:r>
              <w:t xml:space="preserve">10</w:t>
            </w:r>
          </w:p>
        </w:tc>
        <w:tc>
          <w:tcPr/>
          <w:p>
            <w:pPr>
              <w:pStyle w:val="Compact"/>
              <w:jc w:val="left"/>
            </w:pPr>
            <w:r>
              <w:t xml:space="preserve">Digital Intraoral Scanner Tip (Compatible with 3Shape TRIOS)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85,000</w:t>
            </w:r>
          </w:p>
        </w:tc>
        <w:tc>
          <w:tcPr/>
          <w:p>
            <w:pPr>
              <w:pStyle w:val="Compact"/>
              <w:jc w:val="left"/>
            </w:pPr>
            <w:r>
              <w:t xml:space="preserve">170,000</w:t>
            </w:r>
          </w:p>
        </w:tc>
        <w:tc>
          <w:tcPr/>
          <w:p>
            <w:pPr>
              <w:pStyle w:val="Compact"/>
              <w:jc w:val="left"/>
            </w:pPr>
            <w:r>
              <w:t xml:space="preserve">Replacement tips</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2,149,500</w:t>
            </w:r>
          </w:p>
        </w:tc>
      </w:tr>
      <w:tr>
        <w:tc>
          <w:tcPr/>
          <w:p>
            <w:pPr>
              <w:pStyle w:val="Compact"/>
              <w:jc w:val="left"/>
            </w:pPr>
            <w:r>
              <w:t xml:space="preserve">Sales Tax (18% – Sindh, Pakistan Karachi):</w:t>
            </w:r>
          </w:p>
        </w:tc>
        <w:tc>
          <w:tcPr/>
          <w:p>
            <w:pPr>
              <w:pStyle w:val="Compact"/>
              <w:jc w:val="right"/>
            </w:pPr>
            <w:r>
              <w:t xml:space="preserve">PKR 386,910</w:t>
            </w:r>
          </w:p>
        </w:tc>
      </w:tr>
      <w:tr>
        <w:tc>
          <w:tcPr/>
          <w:p>
            <w:pPr>
              <w:pStyle w:val="Compact"/>
              <w:jc w:val="left"/>
            </w:pPr>
            <w:r>
              <w:t xml:space="preserve">Delivery &amp; Handling (within Karachi):</w:t>
            </w:r>
          </w:p>
        </w:tc>
        <w:tc>
          <w:tcPr/>
          <w:p>
            <w:pPr>
              <w:pStyle w:val="Compact"/>
              <w:jc w:val="right"/>
            </w:pPr>
            <w:r>
              <w:t xml:space="preserve">PKR 15,000</w:t>
            </w:r>
          </w:p>
        </w:tc>
      </w:tr>
      <w:tr>
        <w:tc>
          <w:tcPr/>
          <w:p>
            <w:pPr>
              <w:pStyle w:val="Compact"/>
              <w:jc w:val="left"/>
            </w:pPr>
            <w:r>
              <w:t xml:space="preserve">Grand Total:</w:t>
            </w:r>
          </w:p>
        </w:tc>
        <w:tc>
          <w:tcPr/>
          <w:p>
            <w:pPr>
              <w:pStyle w:val="Compact"/>
              <w:jc w:val="right"/>
            </w:pPr>
            <w:r>
              <w:t xml:space="preserve">PKR 2,551,410</w:t>
            </w:r>
          </w:p>
        </w:tc>
      </w:tr>
    </w:tbl>
    <w:bookmarkStart w:id="23" w:name="Xde1b1aa910af0d218dd23eb59edb0f3a99f22fc"/>
    <w:p>
      <w:pPr>
        <w:pStyle w:val="Heading3"/>
      </w:pPr>
      <w:r>
        <w:t xml:space="preserve">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constitutes a binding agreement between Dr. Ayesha Khan Orthodontic Clinic (hereinafter "the Buyer") and MedDent Supplies (Pvt.) Ltd. (hereinafter "the Supplier") for the supply of orthodontic materials and equipment to the</w:t>
      </w:r>
      <w:r>
        <w:t xml:space="preserve"> </w:t>
      </w:r>
      <w:r>
        <w:t xml:space="preserve">Orthodontist</w:t>
      </w:r>
      <w:r>
        <w:t xml:space="preserve"> </w:t>
      </w:r>
      <w:r>
        <w:t xml:space="preserve">practice located in</w:t>
      </w:r>
      <w:r>
        <w:t xml:space="preserve"> </w:t>
      </w:r>
      <w:r>
        <w:t xml:space="preserve">Pakistan Karachi</w:t>
      </w:r>
      <w:r>
        <w:t xml:space="preserve">.</w:t>
      </w:r>
    </w:p>
    <w:p>
      <w:pPr>
        <w:numPr>
          <w:ilvl w:val="0"/>
          <w:numId w:val="1001"/>
        </w:numPr>
        <w:pStyle w:val="Compact"/>
      </w:pPr>
      <w:r>
        <w:t xml:space="preserve">All items must be new, unused, and in their original manufacturer packaging. The Supplier warrants that all orthodontic products comply with PDRA and PSQCA regulations in force in</w:t>
      </w:r>
      <w:r>
        <w:t xml:space="preserve"> </w:t>
      </w:r>
      <w:r>
        <w:t xml:space="preserve">Pakistan Karachi</w:t>
      </w:r>
      <w:r>
        <w:t xml:space="preserve"> </w:t>
      </w:r>
      <w:r>
        <w:t xml:space="preserve">and the broader Sindh province.</w:t>
      </w:r>
    </w:p>
    <w:p>
      <w:pPr>
        <w:numPr>
          <w:ilvl w:val="0"/>
          <w:numId w:val="1001"/>
        </w:numPr>
        <w:pStyle w:val="Compact"/>
      </w:pPr>
      <w:r>
        <w:t xml:space="preserve">Delivery shall be made to the Buyer's clinic address in Clifton,</w:t>
      </w:r>
      <w:r>
        <w:t xml:space="preserve"> </w:t>
      </w:r>
      <w:r>
        <w:t xml:space="preserve">Pakistan Karachi</w:t>
      </w:r>
      <w:r>
        <w:t xml:space="preserve">, no later than 28 June 2025. Late delivery beyond five (5) working days shall entitle the Buyer to a penalty of 1% of the total order value per day of delay.</w:t>
      </w:r>
    </w:p>
    <w:p>
      <w:pPr>
        <w:numPr>
          <w:ilvl w:val="0"/>
          <w:numId w:val="1001"/>
        </w:numPr>
        <w:pStyle w:val="Compact"/>
      </w:pPr>
      <w:r>
        <w:t xml:space="preserve">Payment shall be made via bank transfer to the Supplier's designated account. Fifty percent (50%) shall be paid as an advance upon acceptance of this</w:t>
      </w:r>
      <w:r>
        <w:t xml:space="preserve"> </w:t>
      </w:r>
      <w:r>
        <w:t xml:space="preserve">Purchase Order</w:t>
      </w:r>
      <w:r>
        <w:t xml:space="preserve">, and the remaining fifty percent (50%) shall be paid within seven (7) working days of successful inspection and acceptance of all delivered goods.</w:t>
      </w:r>
    </w:p>
    <w:p>
      <w:pPr>
        <w:numPr>
          <w:ilvl w:val="0"/>
          <w:numId w:val="1001"/>
        </w:numPr>
        <w:pStyle w:val="Compact"/>
      </w:pPr>
      <w:r>
        <w:t xml:space="preserve">The Buyer reserves the right to inspect all orthodontic supplies upon delivery. Any items found to be defective, expired, or not conforming to the specifications stated in this</w:t>
      </w:r>
      <w:r>
        <w:t xml:space="preserve"> </w:t>
      </w:r>
      <w:r>
        <w:t xml:space="preserve">Purchase Order</w:t>
      </w:r>
      <w:r>
        <w:t xml:space="preserve"> </w:t>
      </w:r>
      <w:r>
        <w:t xml:space="preserve">shall be returned at the Supplier's expense within ten (10) working days.</w:t>
      </w:r>
    </w:p>
    <w:p>
      <w:pPr>
        <w:numPr>
          <w:ilvl w:val="0"/>
          <w:numId w:val="1001"/>
        </w:numPr>
        <w:pStyle w:val="Compact"/>
      </w:pPr>
      <w:r>
        <w:t xml:space="preserve">The Supplier shall provide a valid Sales Tax Invoice (STI) and a detailed packing list with each delivery. All invoices must reference this</w:t>
      </w:r>
      <w:r>
        <w:t xml:space="preserve"> </w:t>
      </w:r>
      <w:r>
        <w:t xml:space="preserve">Purchase Order</w:t>
      </w:r>
      <w:r>
        <w:t xml:space="preserve"> </w:t>
      </w:r>
      <w:r>
        <w:t xml:space="preserve">number (PO-ORTHO-KHI-2025-0147).</w:t>
      </w:r>
    </w:p>
    <w:p>
      <w:pPr>
        <w:numPr>
          <w:ilvl w:val="0"/>
          <w:numId w:val="1001"/>
        </w:numPr>
        <w:pStyle w:val="Compact"/>
      </w:pPr>
      <w:r>
        <w:t xml:space="preserve">Warranty: All orthodontic equipment and devices shall carry a minimum manufacturer warranty of twelve (12) months from the date of delivery. The Supplier shall facilitate any warranty claims on behalf of the</w:t>
      </w:r>
      <w:r>
        <w:t xml:space="preserve"> </w:t>
      </w:r>
      <w:r>
        <w:t xml:space="preserve">Orthodontist</w:t>
      </w:r>
      <w:r>
        <w:t xml:space="preserve"> </w:t>
      </w:r>
      <w:r>
        <w:t xml:space="preserve">Buyer.</w:t>
      </w:r>
    </w:p>
    <w:p>
      <w:pPr>
        <w:numPr>
          <w:ilvl w:val="0"/>
          <w:numId w:val="1001"/>
        </w:numPr>
        <w:pStyle w:val="Compact"/>
      </w:pPr>
      <w:r>
        <w:t xml:space="preserve">This</w:t>
      </w:r>
      <w:r>
        <w:t xml:space="preserve"> </w:t>
      </w:r>
      <w:r>
        <w:t xml:space="preserve">Purchase Order</w:t>
      </w:r>
      <w:r>
        <w:t xml:space="preserve"> </w:t>
      </w:r>
      <w:r>
        <w:t xml:space="preserve">is governed by the laws of the Islamic Republic of Pakistan. Any disputes arising from this order shall be subject to the exclusive jurisdiction of the courts in</w:t>
      </w:r>
      <w:r>
        <w:t xml:space="preserve"> </w:t>
      </w:r>
      <w:r>
        <w:t xml:space="preserve">Pakistan Karachi</w:t>
      </w:r>
      <w:r>
        <w:t xml:space="preserve">, Sindh.</w:t>
      </w:r>
    </w:p>
    <w:p>
      <w:pPr>
        <w:numPr>
          <w:ilvl w:val="0"/>
          <w:numId w:val="1001"/>
        </w:numPr>
        <w:pStyle w:val="Compact"/>
      </w:pPr>
      <w:r>
        <w:t xml:space="preserve">The Supplier shall maintain strict confidentiality regarding the Buyer's patient data, clinical protocols, and business practices associated with the</w:t>
      </w:r>
      <w:r>
        <w:t xml:space="preserve"> </w:t>
      </w:r>
      <w:r>
        <w:t xml:space="preserve">Orthodontist</w:t>
      </w:r>
      <w:r>
        <w:t xml:space="preserve"> </w:t>
      </w:r>
      <w:r>
        <w:t xml:space="preserve">clinic in</w:t>
      </w:r>
      <w:r>
        <w:t xml:space="preserve"> </w:t>
      </w:r>
      <w:r>
        <w:t xml:space="preserve">Pakistan Karachi</w:t>
      </w:r>
      <w:r>
        <w:t xml:space="preserve">.</w:t>
      </w:r>
    </w:p>
    <w:p>
      <w:pPr>
        <w:numPr>
          <w:ilvl w:val="0"/>
          <w:numId w:val="1001"/>
        </w:numPr>
        <w:pStyle w:val="Compact"/>
      </w:pPr>
      <w:r>
        <w:t xml:space="preserve">This</w:t>
      </w:r>
      <w:r>
        <w:t xml:space="preserve"> </w:t>
      </w:r>
      <w:r>
        <w:t xml:space="preserve">Purchase Order</w:t>
      </w:r>
      <w:r>
        <w:t xml:space="preserve"> </w:t>
      </w:r>
      <w:r>
        <w:t xml:space="preserve">is valid for acceptance within five (5) working days from the date of issue. Failure to confirm acceptance within this period shall render this order null and void.</w:t>
      </w:r>
    </w:p>
    <w:bookmarkEnd w:id="23"/>
    <w:p>
      <w:pPr>
        <w:pStyle w:val="FirstParagraph"/>
      </w:pPr>
      <w:r>
        <w:rPr>
          <w:bCs/>
          <w:b/>
        </w:rPr>
        <w:t xml:space="preserve">Authorized Signatory – Buyer</w:t>
      </w:r>
      <w:r>
        <w:br/>
      </w:r>
      <w:r>
        <w:t xml:space="preserve">Dr. Ayesha Khan, MDS (Orthodontics)</w:t>
      </w:r>
      <w:r>
        <w:br/>
      </w:r>
      <w:r>
        <w:t xml:space="preserve">Orthodontist</w:t>
      </w:r>
      <w:r>
        <w:t xml:space="preserve">, Dr. Ayesha Khan Orthodontic Clinic</w:t>
      </w:r>
      <w:r>
        <w:br/>
      </w:r>
      <w:r>
        <w:t xml:space="preserve">Pakistan Karachi</w:t>
      </w:r>
      <w:r>
        <w:br/>
      </w:r>
      <w:r>
        <w:t xml:space="preserve">Date: _______________</w:t>
      </w:r>
    </w:p>
    <w:p>
      <w:pPr>
        <w:pStyle w:val="BodyText"/>
      </w:pPr>
      <w:r>
        <w:rPr>
          <w:bCs/>
          <w:b/>
        </w:rPr>
        <w:t xml:space="preserve">Authorized Signatory – Supplier</w:t>
      </w:r>
      <w:r>
        <w:br/>
      </w:r>
      <w:r>
        <w:t xml:space="preserve">Mr. Tariq Mehmood, Sales Manager</w:t>
      </w:r>
      <w:r>
        <w:br/>
      </w:r>
      <w:r>
        <w:t xml:space="preserve">MedDent Supplies (Pvt.) Ltd.</w:t>
      </w:r>
      <w:r>
        <w:br/>
      </w:r>
      <w:r>
        <w:t xml:space="preserve">Pakistan Karachi</w:t>
      </w:r>
      <w:r>
        <w:br/>
      </w:r>
      <w:r>
        <w:t xml:space="preserve">Date: _______________</w:t>
      </w:r>
    </w:p>
    <w:p>
      <w:pPr>
        <w:pStyle w:val="BodyText"/>
      </w:pPr>
      <w:r>
        <w:t xml:space="preserve">This</w:t>
      </w:r>
      <w:r>
        <w:t xml:space="preserve"> </w:t>
      </w:r>
      <w:r>
        <w:t xml:space="preserve">Purchase Order</w:t>
      </w:r>
      <w:r>
        <w:t xml:space="preserve"> </w:t>
      </w:r>
      <w:r>
        <w:t xml:space="preserve">(PO-ORTHO-KHI-2025-0147) was generated for the</w:t>
      </w:r>
      <w:r>
        <w:t xml:space="preserve"> </w:t>
      </w:r>
      <w:r>
        <w:t xml:space="preserve">Orthodontist</w:t>
      </w:r>
      <w:r>
        <w:t xml:space="preserve"> </w:t>
      </w:r>
      <w:r>
        <w:t xml:space="preserve">practice of Dr. Ayesha Khan, Clifton,</w:t>
      </w:r>
      <w:r>
        <w:t xml:space="preserve"> </w:t>
      </w:r>
      <w:r>
        <w:t xml:space="preserve">Pakistan Karachi</w:t>
      </w:r>
      <w:r>
        <w:t xml:space="preserve">. All transactions are subject to the Federal Taxation Authority (FTA) and Sindh Board of Revenue regulations. For queries, contact the procurement department at orders@ayeshakhanortho.pk.</w:t>
      </w:r>
    </w:p>
    <w:p>
      <w:pPr>
        <w:pStyle w:val="BodyText"/>
      </w:pPr>
      <w:r>
        <w:t xml:space="preserve">Document Reference: PO-ORTHO-KHI-2025-0147 | Page 1 of 1 |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Practice - Pakistan Karachi</dc:title>
  <dc:creator/>
  <dc:language>en</dc:language>
  <cp:keywords/>
  <dcterms:created xsi:type="dcterms:W3CDTF">2026-10-10T03:49:39Z</dcterms:created>
  <dcterms:modified xsi:type="dcterms:W3CDTF">2026-10-10T03:49:39Z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