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po-2025-spb-0472"/>
    <w:p>
      <w:pPr>
        <w:pStyle w:val="Heading1"/>
      </w:pPr>
      <w:r>
        <w:t xml:space="preserve">PURCHASE ORDER</w:t>
      </w:r>
      <w:r>
        <w:t xml:space="preserve"> </w:t>
      </w:r>
      <w:r>
        <w:t xml:space="preserve">PO-2025-SPB-0472</w:t>
      </w:r>
    </w:p>
    <w:p>
      <w:pPr>
        <w:pStyle w:val="FirstParagraph"/>
      </w:pPr>
      <w:r>
        <w:rPr>
          <w:bCs/>
          <w:b/>
        </w:rPr>
        <w:t xml:space="preserve">Buyer:</w:t>
      </w:r>
      <w:r>
        <w:t xml:space="preserve"> </w:t>
      </w:r>
      <w:r>
        <w:t xml:space="preserve">Northern Capital Dental Group LLC</w:t>
      </w:r>
    </w:p>
    <w:p>
      <w:pPr>
        <w:pStyle w:val="BodyText"/>
      </w:pPr>
      <w:r>
        <w:rPr>
          <w:bCs/>
          <w:b/>
        </w:rPr>
        <w:t xml:space="preserve">Address:</w:t>
      </w:r>
      <w:r>
        <w:t xml:space="preserve"> </w:t>
      </w:r>
      <w:r>
        <w:t xml:space="preserve">14 Nevsky Prospekt, Building 3, Saint Petersburg, Russia 191025</w:t>
      </w:r>
    </w:p>
    <w:p>
      <w:pPr>
        <w:pStyle w:val="BodyText"/>
      </w:pPr>
      <w:r>
        <w:rPr>
          <w:bCs/>
          <w:b/>
        </w:rPr>
        <w:t xml:space="preserve">Phone:</w:t>
      </w:r>
      <w:r>
        <w:t xml:space="preserve"> </w:t>
      </w:r>
      <w:r>
        <w:t xml:space="preserve">+7 (812) 555-0147  | </w:t>
      </w:r>
      <w:r>
        <w:t xml:space="preserve"> </w:t>
      </w:r>
      <w:r>
        <w:rPr>
          <w:bCs/>
          <w:b/>
        </w:rPr>
        <w:t xml:space="preserve">Email:</w:t>
      </w:r>
      <w:r>
        <w:t xml:space="preserve"> </w:t>
      </w:r>
      <w:r>
        <w:t xml:space="preserve">procurement@ncdg-sp.ru</w:t>
      </w:r>
    </w:p>
    <w:p>
      <w:pPr>
        <w:pStyle w:val="BodyText"/>
      </w:pPr>
      <w:r>
        <w:rPr>
          <w:bCs/>
          <w:b/>
        </w:rPr>
        <w:t xml:space="preserve">Tax ID (INN):</w:t>
      </w:r>
      <w:r>
        <w:t xml:space="preserve"> </w:t>
      </w:r>
      <w:r>
        <w:t xml:space="preserve">7811234567  | </w:t>
      </w:r>
      <w:r>
        <w:t xml:space="preserve"> </w:t>
      </w:r>
      <w:r>
        <w:rPr>
          <w:bCs/>
          <w:b/>
        </w:rPr>
        <w:t xml:space="preserve">KPP:</w:t>
      </w:r>
      <w:r>
        <w:t xml:space="preserve"> </w:t>
      </w:r>
      <w:r>
        <w:t xml:space="preserve">781101001</w:t>
      </w:r>
    </w:p>
    <w:bookmarkEnd w:id="20"/>
    <w:p>
      <w:pPr>
        <w:pStyle w:val="BodyText"/>
      </w:pPr>
      <w:r>
        <w:rPr>
          <w:bCs/>
          <w:b/>
        </w:rPr>
        <w:t xml:space="preserve">Purchase Order No.:</w:t>
      </w:r>
      <w:r>
        <w:t xml:space="preserve"> </w:t>
      </w:r>
      <w:r>
        <w:t xml:space="preserve">PO-2025-SPB-0472</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30 June 2025</w:t>
      </w:r>
    </w:p>
    <w:p>
      <w:pPr>
        <w:pStyle w:val="BodyText"/>
      </w:pPr>
      <w:r>
        <w:rPr>
          <w:bCs/>
          <w:b/>
        </w:rPr>
        <w:t xml:space="preserve">Currency:</w:t>
      </w:r>
      <w:r>
        <w:t xml:space="preserve"> </w:t>
      </w:r>
      <w:r>
        <w:t xml:space="preserve">Russian Ruble (RUB)</w:t>
      </w:r>
    </w:p>
    <w:bookmarkStart w:id="21" w:name="supplier-service-provider-information"/>
    <w:p>
      <w:pPr>
        <w:pStyle w:val="Heading2"/>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Dr. Elena V. Sokolova, Certified Orthodontist</w:t>
            </w:r>
          </w:p>
        </w:tc>
      </w:tr>
      <w:tr>
        <w:tc>
          <w:tcPr/>
          <w:p>
            <w:pPr>
              <w:pStyle w:val="Compact"/>
              <w:jc w:val="left"/>
            </w:pPr>
            <w:r>
              <w:rPr>
                <w:bCs/>
                <w:b/>
              </w:rPr>
              <w:t xml:space="preserve">Clinic:</w:t>
            </w:r>
          </w:p>
        </w:tc>
        <w:tc>
          <w:tcPr/>
          <w:p>
            <w:pPr>
              <w:pStyle w:val="Compact"/>
              <w:jc w:val="left"/>
            </w:pPr>
            <w:r>
              <w:t xml:space="preserve">OrthoCare Saint Petersburg Specialist Clinic</w:t>
            </w:r>
          </w:p>
        </w:tc>
      </w:tr>
      <w:tr>
        <w:tc>
          <w:tcPr/>
          <w:p>
            <w:pPr>
              <w:pStyle w:val="Compact"/>
              <w:jc w:val="left"/>
            </w:pPr>
            <w:r>
              <w:rPr>
                <w:bCs/>
                <w:b/>
              </w:rPr>
              <w:t xml:space="preserve">Address:</w:t>
            </w:r>
          </w:p>
        </w:tc>
        <w:tc>
          <w:tcPr/>
          <w:p>
            <w:pPr>
              <w:pStyle w:val="Compact"/>
              <w:jc w:val="left"/>
            </w:pPr>
            <w:r>
              <w:t xml:space="preserve">28 Liteyny Avenue, Saint Petersburg, Russia 191011</w:t>
            </w:r>
          </w:p>
        </w:tc>
      </w:tr>
      <w:tr>
        <w:tc>
          <w:tcPr/>
          <w:p>
            <w:pPr>
              <w:pStyle w:val="Compact"/>
              <w:jc w:val="left"/>
            </w:pPr>
            <w:r>
              <w:rPr>
                <w:bCs/>
                <w:b/>
              </w:rPr>
              <w:t xml:space="preserve">License No.:</w:t>
            </w:r>
          </w:p>
        </w:tc>
        <w:tc>
          <w:tcPr/>
          <w:p>
            <w:pPr>
              <w:pStyle w:val="Compact"/>
              <w:jc w:val="left"/>
            </w:pPr>
            <w:r>
              <w:t xml:space="preserve">LO-78-01-0034567 (Issued by the Committee for Health of Saint Petersburg)</w:t>
            </w:r>
          </w:p>
        </w:tc>
      </w:tr>
      <w:tr>
        <w:tc>
          <w:tcPr/>
          <w:p>
            <w:pPr>
              <w:pStyle w:val="Compact"/>
              <w:jc w:val="left"/>
            </w:pPr>
            <w:r>
              <w:rPr>
                <w:bCs/>
                <w:b/>
              </w:rPr>
              <w:t xml:space="preserve">Contact:</w:t>
            </w:r>
          </w:p>
        </w:tc>
        <w:tc>
          <w:tcPr/>
          <w:p>
            <w:pPr>
              <w:pStyle w:val="Compact"/>
              <w:jc w:val="left"/>
            </w:pPr>
            <w:r>
              <w:t xml:space="preserve">+7 (812) 333-8890  |  admin@orthocare-sp.ru</w:t>
            </w:r>
          </w:p>
        </w:tc>
      </w:tr>
      <w:tr>
        <w:tc>
          <w:tcPr/>
          <w:p>
            <w:pPr>
              <w:pStyle w:val="Compact"/>
              <w:jc w:val="left"/>
            </w:pPr>
            <w:r>
              <w:rPr>
                <w:bCs/>
                <w:b/>
              </w:rPr>
              <w:t xml:space="preserve">Specialty:</w:t>
            </w:r>
          </w:p>
        </w:tc>
        <w:tc>
          <w:tcPr/>
          <w:p>
            <w:pPr>
              <w:pStyle w:val="Compact"/>
              <w:jc w:val="left"/>
            </w:pPr>
            <w:r>
              <w:t xml:space="preserve">Orthodontist – Comprehensive Orthodontic Treatment, Aligner Therapy, and Pediatric Orthodontics</w:t>
            </w:r>
          </w:p>
        </w:tc>
      </w:tr>
    </w:tbl>
    <w:bookmarkEnd w:id="21"/>
    <w:bookmarkStart w:id="22" w:name="X1f831fcb89a18babdd20a512191cf861a713fe9"/>
    <w:p>
      <w:pPr>
        <w:pStyle w:val="Heading2"/>
      </w:pPr>
      <w:r>
        <w:t xml:space="preserve">Line Items – Orthodontic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Initial Orthodontist Consultation and Diagnostic Imaging (Panoramic X-ray, Cephalometric Analysis, Intraoral Scanning)</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2</w:t>
            </w:r>
          </w:p>
        </w:tc>
        <w:tc>
          <w:tcPr/>
          <w:p>
            <w:pPr>
              <w:pStyle w:val="Compact"/>
              <w:jc w:val="left"/>
            </w:pPr>
            <w:r>
              <w:t xml:space="preserve">Custom Fabrication and Fitting of Ceramic Braces (Upper and Lower Arch)</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Monthly Orthodontist Adjustment and Monitoring Visits (12-month treatment cycle)</w:t>
            </w:r>
          </w:p>
        </w:tc>
        <w:tc>
          <w:tcPr/>
          <w:p>
            <w:pPr>
              <w:pStyle w:val="Compact"/>
              <w:jc w:val="left"/>
            </w:pPr>
            <w:r>
              <w:t xml:space="preserve">12</w:t>
            </w:r>
          </w:p>
        </w:tc>
        <w:tc>
          <w:tcPr/>
          <w:p>
            <w:pPr>
              <w:pStyle w:val="Compact"/>
              <w:jc w:val="left"/>
            </w:pPr>
            <w:r>
              <w:t xml:space="preserve">Visits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4</w:t>
            </w:r>
          </w:p>
        </w:tc>
        <w:tc>
          <w:tcPr/>
          <w:p>
            <w:pPr>
              <w:pStyle w:val="Compact"/>
              <w:jc w:val="left"/>
            </w:pPr>
            <w:r>
              <w:t xml:space="preserve">Removable Retainer Fabrication (Hawley Type, Upper and Lower)</w:t>
            </w:r>
          </w:p>
        </w:tc>
        <w:tc>
          <w:tcPr/>
          <w:p>
            <w:pPr>
              <w:pStyle w:val="Compact"/>
              <w:jc w:val="left"/>
            </w:pPr>
            <w:r>
              <w:t xml:space="preserve">2</w:t>
            </w:r>
          </w:p>
        </w:tc>
        <w:tc>
          <w:tcPr/>
          <w:p>
            <w:pPr>
              <w:pStyle w:val="Compact"/>
              <w:jc w:val="left"/>
            </w:pPr>
            <w:r>
              <w:t xml:space="preserve">Unit</w:t>
            </w:r>
          </w:p>
        </w:tc>
        <w:tc>
          <w:tcPr/>
          <w:p>
            <w:pPr>
              <w:pStyle w:val="Compact"/>
              <w:jc w:val="left"/>
            </w:pPr>
            <w:r>
              <w:t xml:space="preserve">14,000</w:t>
            </w:r>
          </w:p>
        </w:tc>
        <w:tc>
          <w:tcPr/>
          <w:p>
            <w:pPr>
              <w:pStyle w:val="Compact"/>
              <w:jc w:val="left"/>
            </w:pPr>
            <w:r>
              <w:t xml:space="preserve">28,000</w:t>
            </w:r>
          </w:p>
        </w:tc>
      </w:tr>
      <w:tr>
        <w:tc>
          <w:tcPr/>
          <w:p>
            <w:pPr>
              <w:pStyle w:val="Compact"/>
              <w:jc w:val="left"/>
            </w:pPr>
            <w:r>
              <w:t xml:space="preserve">5</w:t>
            </w:r>
          </w:p>
        </w:tc>
        <w:tc>
          <w:tcPr/>
          <w:p>
            <w:pPr>
              <w:pStyle w:val="Compact"/>
              <w:jc w:val="left"/>
            </w:pPr>
            <w:r>
              <w:t xml:space="preserve">Interproximal Reduction (IPR) and Bonding Materials (Composite Resin, Ligatures, O-rings)</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6</w:t>
            </w:r>
          </w:p>
        </w:tc>
        <w:tc>
          <w:tcPr/>
          <w:p>
            <w:pPr>
              <w:pStyle w:val="Compact"/>
              <w:jc w:val="left"/>
            </w:pPr>
            <w:r>
              <w:t xml:space="preserve">Emergency Orthodontist Visit (Bracket Reattachment, Wire Adjustment – up to 2 visits)</w:t>
            </w:r>
          </w:p>
        </w:tc>
        <w:tc>
          <w:tcPr/>
          <w:p>
            <w:pPr>
              <w:pStyle w:val="Compact"/>
              <w:jc w:val="left"/>
            </w:pPr>
            <w:r>
              <w:t xml:space="preserve">2</w:t>
            </w:r>
          </w:p>
        </w:tc>
        <w:tc>
          <w:tcPr/>
          <w:p>
            <w:pPr>
              <w:pStyle w:val="Compact"/>
              <w:jc w:val="left"/>
            </w:pPr>
            <w:r>
              <w:t xml:space="preserve">Visits</w:t>
            </w:r>
          </w:p>
        </w:tc>
        <w:tc>
          <w:tcPr/>
          <w:p>
            <w:pPr>
              <w:pStyle w:val="Compact"/>
              <w:jc w:val="left"/>
            </w:pPr>
            <w:r>
              <w:t xml:space="preserve">6,500</w:t>
            </w:r>
          </w:p>
        </w:tc>
        <w:tc>
          <w:tcPr/>
          <w:p>
            <w:pPr>
              <w:pStyle w:val="Compact"/>
              <w:jc w:val="left"/>
            </w:pPr>
            <w:r>
              <w:t xml:space="preserve">13,000</w:t>
            </w:r>
          </w:p>
        </w:tc>
      </w:tr>
      <w:tr>
        <w:tc>
          <w:tcPr/>
          <w:p>
            <w:pPr>
              <w:pStyle w:val="Compact"/>
              <w:jc w:val="left"/>
            </w:pPr>
            <w:r>
              <w:t xml:space="preserve">7</w:t>
            </w:r>
          </w:p>
        </w:tc>
        <w:tc>
          <w:tcPr/>
          <w:p>
            <w:pPr>
              <w:pStyle w:val="Compact"/>
              <w:jc w:val="left"/>
            </w:pPr>
            <w:r>
              <w:t xml:space="preserve">Post-Treatment Orthodontist Follow-up and Retainer Adjustment (6-month interval, 2 sessions)</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5,000</w:t>
            </w:r>
          </w:p>
        </w:tc>
        <w:tc>
          <w:tcPr/>
          <w:p>
            <w:pPr>
              <w:pStyle w:val="Compact"/>
              <w:jc w:val="left"/>
            </w:pPr>
            <w:r>
              <w:t xml:space="preserve">10,000</w:t>
            </w:r>
          </w:p>
        </w:tc>
      </w:tr>
      <w:tr>
        <w:tc>
          <w:tcPr>
            <w:gridSpan w:val="5"/>
          </w:tcPr>
          <w:p>
            <w:pPr>
              <w:pStyle w:val="Compact"/>
              <w:jc w:val="right"/>
            </w:pPr>
            <w:r>
              <w:t xml:space="preserve">SUBTOTAL</w:t>
            </w:r>
          </w:p>
        </w:tc>
        <w:tc>
          <w:tcPr/>
          <w:p>
            <w:pPr>
              <w:pStyle w:val="Compact"/>
              <w:jc w:val="left"/>
            </w:pPr>
            <w:r>
              <w:t xml:space="preserve">372,500</w:t>
            </w:r>
          </w:p>
        </w:tc>
      </w:tr>
      <w:tr>
        <w:tc>
          <w:tcPr>
            <w:gridSpan w:val="5"/>
          </w:tcPr>
          <w:p>
            <w:pPr>
              <w:pStyle w:val="Compact"/>
              <w:jc w:val="right"/>
            </w:pPr>
            <w:r>
              <w:t xml:space="preserve">VAT (20%)</w:t>
            </w:r>
          </w:p>
        </w:tc>
        <w:tc>
          <w:tcPr/>
          <w:p>
            <w:pPr>
              <w:pStyle w:val="Compact"/>
              <w:jc w:val="left"/>
            </w:pPr>
            <w:r>
              <w:t xml:space="preserve">74,500</w:t>
            </w:r>
          </w:p>
        </w:tc>
      </w:tr>
      <w:tr>
        <w:tc>
          <w:tcPr>
            <w:gridSpan w:val="5"/>
          </w:tcPr>
          <w:p>
            <w:pPr>
              <w:pStyle w:val="Compact"/>
              <w:jc w:val="right"/>
            </w:pPr>
            <w:r>
              <w:t xml:space="preserve">GRAND TOTAL</w:t>
            </w:r>
          </w:p>
        </w:tc>
        <w:tc>
          <w:tcPr/>
          <w:p>
            <w:pPr>
              <w:pStyle w:val="Compact"/>
              <w:jc w:val="left"/>
            </w:pPr>
            <w:r>
              <w:t xml:space="preserve">447,000</w:t>
            </w:r>
          </w:p>
        </w:tc>
      </w:tr>
    </w:tbl>
    <w:bookmarkEnd w:id="22"/>
    <w:bookmarkStart w:id="23" w:name="scope-of-work-and-service-description"/>
    <w:p>
      <w:pPr>
        <w:pStyle w:val="Heading2"/>
      </w:pPr>
      <w:r>
        <w:t xml:space="preserve">Scope of Work and Service Description</w:t>
      </w:r>
    </w:p>
    <w:p>
      <w:pPr>
        <w:pStyle w:val="FirstParagraph"/>
      </w:pPr>
      <w:r>
        <w:t xml:space="preserve">This Purchase Order is issued by Northern Capital Dental Group LLC to engage the services of a licensed Orthodontist operating in Russia Saint Petersburg for the provision of comprehensive orthodontic treatment. The Orthodontist, Dr. Elena V. Sokolova, shall perform all clinical procedures in strict accordance with the Federal Law of the Russian Federation "On the Protection of Consumer Rights" and the sanitary-epidemiological regulations established by Rospotrebnadzor. All orthodontic appliances, bonding agents, and auxiliary materials must comply with GOST standards and hold valid registration certificates from the Federal Service for Surveillance in Healthcare (Roszdravnadzor). The treatment plan shall be executed at the OrthoCare Saint Petersburg Specialist Clinic located in the central district of Saint Petersburg, Russia, ensuring that all patient records are maintained in the electronic health record system mandated for medical institutions in the Saint Petersburg region.</w:t>
      </w:r>
    </w:p>
    <w:bookmarkEnd w:id="23"/>
    <w:bookmarkStart w:id="24" w:name="terms-and-conditions"/>
    <w:p>
      <w:pPr>
        <w:pStyle w:val="Heading2"/>
      </w:pPr>
      <w:r>
        <w:t xml:space="preserve">Terms and Conditions</w:t>
      </w:r>
    </w:p>
    <w:p>
      <w:pPr>
        <w:numPr>
          <w:ilvl w:val="0"/>
          <w:numId w:val="1001"/>
        </w:numPr>
        <w:pStyle w:val="Compact"/>
      </w:pPr>
      <w:r>
        <w:rPr>
          <w:bCs/>
          <w:b/>
        </w:rPr>
        <w:t xml:space="preserve">Payment Terms:</w:t>
      </w:r>
      <w:r>
        <w:t xml:space="preserve"> </w:t>
      </w:r>
      <w:r>
        <w:t xml:space="preserve">50% advance payment (223,500 RUB) due within 5 business days of Purchase Order acceptance. The remaining 50% (223,500 RUB) shall be paid in equal monthly installments over the 12-month treatment period, due on the 5th of each month via bank transfer to the supplier's account.</w:t>
      </w:r>
    </w:p>
    <w:p>
      <w:pPr>
        <w:numPr>
          <w:ilvl w:val="0"/>
          <w:numId w:val="1001"/>
        </w:numPr>
        <w:pStyle w:val="Compact"/>
      </w:pPr>
      <w:r>
        <w:rPr>
          <w:bCs/>
          <w:b/>
        </w:rPr>
        <w:t xml:space="preserve">Bank Details:</w:t>
      </w:r>
      <w:r>
        <w:t xml:space="preserve"> </w:t>
      </w:r>
      <w:r>
        <w:t xml:space="preserve">Account No. 40702810900000012345, Sberbank, Saint Petersburg Branch, BIC 044030640, INN 7805678901.</w:t>
      </w:r>
    </w:p>
    <w:p>
      <w:pPr>
        <w:numPr>
          <w:ilvl w:val="0"/>
          <w:numId w:val="1001"/>
        </w:numPr>
        <w:pStyle w:val="Compact"/>
      </w:pPr>
      <w:r>
        <w:rPr>
          <w:bCs/>
          <w:b/>
        </w:rPr>
        <w:t xml:space="preserve">Service Delivery:</w:t>
      </w:r>
      <w:r>
        <w:t xml:space="preserve"> </w:t>
      </w:r>
      <w:r>
        <w:t xml:space="preserve">All orthodontic appointments shall be scheduled no later than 14 calendar days in advance. The Orthodontist shall provide a written treatment progress report at each monthly visit.</w:t>
      </w:r>
    </w:p>
    <w:p>
      <w:pPr>
        <w:numPr>
          <w:ilvl w:val="0"/>
          <w:numId w:val="1001"/>
        </w:numPr>
        <w:pStyle w:val="Compact"/>
      </w:pPr>
      <w:r>
        <w:rPr>
          <w:bCs/>
          <w:b/>
        </w:rPr>
        <w:t xml:space="preserve">Warranty:</w:t>
      </w:r>
      <w:r>
        <w:t xml:space="preserve"> </w:t>
      </w:r>
      <w:r>
        <w:t xml:space="preserve">The Orthodontist guarantees that all bonded brackets and wires shall remain in proper function for the duration of the active treatment phase. Any premature debonding or appliance failure shall be corrected at no additional cost to the buyer.</w:t>
      </w:r>
    </w:p>
    <w:p>
      <w:pPr>
        <w:numPr>
          <w:ilvl w:val="0"/>
          <w:numId w:val="1001"/>
        </w:numPr>
        <w:pStyle w:val="Compact"/>
      </w:pPr>
      <w:r>
        <w:rPr>
          <w:bCs/>
          <w:b/>
        </w:rPr>
        <w:t xml:space="preserve">Cancellation Policy:</w:t>
      </w:r>
      <w:r>
        <w:t xml:space="preserve"> </w:t>
      </w:r>
      <w:r>
        <w:t xml:space="preserve">Appointments may be rescheduled with a minimum of 48 hours' notice. Cancellations within 24 hours shall incur a fee of 30% of the scheduled visit price.</w:t>
      </w:r>
    </w:p>
    <w:p>
      <w:pPr>
        <w:numPr>
          <w:ilvl w:val="0"/>
          <w:numId w:val="1001"/>
        </w:numPr>
        <w:pStyle w:val="Compact"/>
      </w:pPr>
      <w:r>
        <w:rPr>
          <w:bCs/>
          <w:b/>
        </w:rPr>
        <w:t xml:space="preserve">Confidentiality:</w:t>
      </w:r>
      <w:r>
        <w:t xml:space="preserve"> </w:t>
      </w:r>
      <w:r>
        <w:t xml:space="preserve">All patient data and medical records shall be handled in compliance with Federal Law No. 152-FZ "On Personal Data" of the Russian Federation. The Orthodontist and clinic staff are bound by a non-disclosure agreement.</w:t>
      </w:r>
    </w:p>
    <w:p>
      <w:pPr>
        <w:numPr>
          <w:ilvl w:val="0"/>
          <w:numId w:val="1001"/>
        </w:numPr>
        <w:pStyle w:val="Compact"/>
      </w:pPr>
      <w:r>
        <w:rPr>
          <w:bCs/>
          <w:b/>
        </w:rPr>
        <w:t xml:space="preserve">Dispute Resolution:</w:t>
      </w:r>
      <w:r>
        <w:t xml:space="preserve"> </w:t>
      </w:r>
      <w:r>
        <w:t xml:space="preserve">Any disputes arising from this Purchase Order shall be resolved through the Arbitration Court of Saint Petersburg, Russia, in accordance with the Civil Procedure Code of the Russian Federation.</w:t>
      </w:r>
    </w:p>
    <w:p>
      <w:pPr>
        <w:numPr>
          <w:ilvl w:val="0"/>
          <w:numId w:val="1001"/>
        </w:numPr>
        <w:pStyle w:val="Compact"/>
      </w:pPr>
      <w:r>
        <w:rPr>
          <w:bCs/>
          <w:b/>
        </w:rPr>
        <w:t xml:space="preserve">Validity:</w:t>
      </w:r>
      <w:r>
        <w:t xml:space="preserve"> </w:t>
      </w:r>
      <w:r>
        <w:t xml:space="preserve">This Purchase Order is valid for 30 calendar days from the date of issue. Failure to confirm acceptance within this period shall render the document null and void.</w:t>
      </w:r>
    </w:p>
    <w:bookmarkEnd w:id="24"/>
    <w:bookmarkStart w:id="25" w:name="acceptance-and-authorization"/>
    <w:p>
      <w:pPr>
        <w:pStyle w:val="Heading2"/>
      </w:pPr>
      <w:r>
        <w:t xml:space="preserve">Acceptance and Authorization</w:t>
      </w:r>
    </w:p>
    <w:p>
      <w:pPr>
        <w:pStyle w:val="FirstParagraph"/>
      </w:pPr>
      <w:r>
        <w:t xml:space="preserve">By signing below, both parties acknowledge and agree to the terms, conditions, and scope of work outlined in this Purchase Order for orthodontic services to be rendered in Russia Saint Petersburg. This document constitutes a binding agreement between the buyer and the Orthodontist service provider for the duration of the specified treatment cycle.</w:t>
      </w:r>
    </w:p>
    <w:bookmarkEnd w:id="25"/>
    <w:p>
      <w:pPr>
        <w:pStyle w:val="BodyText"/>
      </w:pPr>
      <w:r>
        <w:rPr>
          <w:bCs/>
          <w:b/>
        </w:rPr>
        <w:t xml:space="preserve">For the Buyer:</w:t>
      </w:r>
    </w:p>
    <w:p>
      <w:pPr>
        <w:pStyle w:val="BodyText"/>
      </w:pPr>
      <w:r>
        <w:t xml:space="preserve">Northern Capital Dental Group LLC</w:t>
      </w:r>
    </w:p>
    <w:p>
      <w:pPr>
        <w:pStyle w:val="BodyText"/>
      </w:pPr>
      <w:r>
        <w:t xml:space="preserve">Name: Mikhail A. Petrov</w:t>
      </w:r>
      <w:r>
        <w:br/>
      </w:r>
      <w:r>
        <w:t xml:space="preserve">Title: Chief Procurement Officer</w:t>
      </w:r>
      <w:r>
        <w:br/>
      </w:r>
      <w:r>
        <w:t xml:space="preserve">Signature: _________________________</w:t>
      </w:r>
      <w:r>
        <w:br/>
      </w:r>
      <w:r>
        <w:t xml:space="preserve">Date: _______________</w:t>
      </w:r>
    </w:p>
    <w:p>
      <w:pPr>
        <w:pStyle w:val="BodyText"/>
      </w:pPr>
      <w:r>
        <w:rPr>
          <w:bCs/>
          <w:b/>
        </w:rPr>
        <w:t xml:space="preserve">For the Supplier / Orthodontist:</w:t>
      </w:r>
    </w:p>
    <w:p>
      <w:pPr>
        <w:pStyle w:val="BodyText"/>
      </w:pPr>
      <w:r>
        <w:t xml:space="preserve">OrthoCare Saint Petersburg Specialist Clinic</w:t>
      </w:r>
    </w:p>
    <w:p>
      <w:pPr>
        <w:pStyle w:val="BodyText"/>
      </w:pPr>
      <w:r>
        <w:t xml:space="preserve">Name: Dr. Elena V. Sokolova</w:t>
      </w:r>
      <w:r>
        <w:br/>
      </w:r>
      <w:r>
        <w:t xml:space="preserve">Title: Lead Orthodontist, Clinic Director</w:t>
      </w:r>
      <w:r>
        <w:br/>
      </w:r>
      <w:r>
        <w:t xml:space="preserve">Signature: _________________________</w:t>
      </w:r>
      <w:r>
        <w:br/>
      </w:r>
      <w:r>
        <w:t xml:space="preserve">Date: _______________</w:t>
      </w:r>
    </w:p>
    <w:p>
      <w:pPr>
        <w:pStyle w:val="BodyText"/>
      </w:pPr>
      <w:r>
        <w:t xml:space="preserve">This Purchase Order (PO-2025-SPB-0472) was generated for orthodontic services in Russia Saint Petersburg. Northern Capital Dental Group LLC © 2025. All rights reserved.</w:t>
      </w:r>
    </w:p>
    <w:p>
      <w:pPr>
        <w:pStyle w:val="BodyText"/>
      </w:pPr>
      <w:r>
        <w:t xml:space="preserve">Document reference: NCDG/PROC/2025/0472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Services - Russia Saint Petersburg</dc:title>
  <dc:creator/>
  <dc:language>en</dc:language>
  <cp:keywords/>
  <dcterms:created xsi:type="dcterms:W3CDTF">2026-10-10T04:22:24Z</dcterms:created>
  <dcterms:modified xsi:type="dcterms:W3CDTF">2026-10-10T04:22:24Z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