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Al-Nour Orthodontic Center – Jeddah, Saudi Arabia</w:t>
      </w:r>
    </w:p>
    <w:p>
      <w:pPr>
        <w:pStyle w:val="BodyText"/>
      </w:pPr>
      <w:r>
        <w:t xml:space="preserve">PO Number: PO-ORTH-JED-2025-0487  |  Date of Issue: 15 June 2025</w:t>
      </w:r>
    </w:p>
    <w:p>
      <w:pPr>
        <w:pStyle w:val="BodyText"/>
      </w:pPr>
      <w:r>
        <w:t xml:space="preserve">Orthodontist Procurement – Saudi Arabia Jeddah</w:t>
      </w:r>
    </w:p>
    <w:bookmarkEnd w:id="20"/>
    <w:bookmarkStart w:id="21" w:name="supplier-vendor"/>
    <w:p>
      <w:pPr>
        <w:pStyle w:val="Heading3"/>
      </w:pPr>
      <w:r>
        <w:t xml:space="preserve">Supplier / Vendor</w:t>
      </w:r>
    </w:p>
    <w:p>
      <w:pPr>
        <w:pStyle w:val="FirstParagraph"/>
      </w:pPr>
      <w:r>
        <w:rPr>
          <w:bCs/>
          <w:b/>
        </w:rPr>
        <w:t xml:space="preserve">Company:</w:t>
      </w:r>
      <w:r>
        <w:t xml:space="preserve"> </w:t>
      </w:r>
      <w:r>
        <w:t xml:space="preserve">Gulf Dental Supplies Co., Ltd.</w:t>
      </w:r>
    </w:p>
    <w:p>
      <w:pPr>
        <w:pStyle w:val="BodyText"/>
      </w:pPr>
      <w:r>
        <w:rPr>
          <w:bCs/>
          <w:b/>
        </w:rPr>
        <w:t xml:space="preserve">Address:</w:t>
      </w:r>
      <w:r>
        <w:t xml:space="preserve"> </w:t>
      </w:r>
      <w:r>
        <w:t xml:space="preserve">King Fahd Road, Al-Shati District, Jeddah 23412, Saudi Arabia</w:t>
      </w:r>
    </w:p>
    <w:p>
      <w:pPr>
        <w:pStyle w:val="BodyText"/>
      </w:pPr>
      <w:r>
        <w:rPr>
          <w:bCs/>
          <w:b/>
        </w:rPr>
        <w:t xml:space="preserve">CR Number:</w:t>
      </w:r>
      <w:r>
        <w:t xml:space="preserve"> </w:t>
      </w:r>
      <w:r>
        <w:t xml:space="preserve">1010456789</w:t>
      </w:r>
    </w:p>
    <w:p>
      <w:pPr>
        <w:pStyle w:val="BodyText"/>
      </w:pPr>
      <w:r>
        <w:rPr>
          <w:bCs/>
          <w:b/>
        </w:rPr>
        <w:t xml:space="preserve">VAT Number:</w:t>
      </w:r>
      <w:r>
        <w:t xml:space="preserve"> </w:t>
      </w:r>
      <w:r>
        <w:t xml:space="preserve">310123456700003</w:t>
      </w:r>
    </w:p>
    <w:p>
      <w:pPr>
        <w:pStyle w:val="BodyText"/>
      </w:pPr>
      <w:r>
        <w:rPr>
          <w:bCs/>
          <w:b/>
        </w:rPr>
        <w:t xml:space="preserve">Contact:</w:t>
      </w:r>
      <w:r>
        <w:t xml:space="preserve"> </w:t>
      </w:r>
      <w:r>
        <w:t xml:space="preserve">Mr. Khalid Al-Rashidi – +966 12 654 3210</w:t>
      </w:r>
    </w:p>
    <w:bookmarkEnd w:id="21"/>
    <w:bookmarkStart w:id="22" w:name="buyer-receiving-party"/>
    <w:p>
      <w:pPr>
        <w:pStyle w:val="Heading3"/>
      </w:pPr>
      <w:r>
        <w:t xml:space="preserve">Buyer / Receiving Party</w:t>
      </w:r>
    </w:p>
    <w:p>
      <w:pPr>
        <w:pStyle w:val="FirstParagraph"/>
      </w:pPr>
      <w:r>
        <w:rPr>
          <w:bCs/>
          <w:b/>
        </w:rPr>
        <w:t xml:space="preserve">Entity:</w:t>
      </w:r>
      <w:r>
        <w:t xml:space="preserve"> </w:t>
      </w:r>
      <w:r>
        <w:t xml:space="preserve">Al-Nour Orthodontic Center</w:t>
      </w:r>
    </w:p>
    <w:p>
      <w:pPr>
        <w:pStyle w:val="BodyText"/>
      </w:pPr>
      <w:r>
        <w:rPr>
          <w:bCs/>
          <w:b/>
        </w:rPr>
        <w:t xml:space="preserve">Address:</w:t>
      </w:r>
      <w:r>
        <w:t xml:space="preserve"> </w:t>
      </w:r>
      <w:r>
        <w:t xml:space="preserve">Prince Sultan Road, Al-Andalus District, Jeddah 21589, Saudi Arabia</w:t>
      </w:r>
    </w:p>
    <w:p>
      <w:pPr>
        <w:pStyle w:val="BodyText"/>
      </w:pPr>
      <w:r>
        <w:rPr>
          <w:bCs/>
          <w:b/>
        </w:rPr>
        <w:t xml:space="preserve">CR Number:</w:t>
      </w:r>
      <w:r>
        <w:t xml:space="preserve"> </w:t>
      </w:r>
      <w:r>
        <w:t xml:space="preserve">1010987654</w:t>
      </w:r>
    </w:p>
    <w:p>
      <w:pPr>
        <w:pStyle w:val="BodyText"/>
      </w:pPr>
      <w:r>
        <w:rPr>
          <w:bCs/>
          <w:b/>
        </w:rPr>
        <w:t xml:space="preserve">VAT Number:</w:t>
      </w:r>
      <w:r>
        <w:t xml:space="preserve"> </w:t>
      </w:r>
      <w:r>
        <w:t xml:space="preserve">310987654300003</w:t>
      </w:r>
    </w:p>
    <w:p>
      <w:pPr>
        <w:pStyle w:val="BodyText"/>
      </w:pPr>
      <w:r>
        <w:rPr>
          <w:bCs/>
          <w:b/>
        </w:rPr>
        <w:t xml:space="preserve">Contact:</w:t>
      </w:r>
      <w:r>
        <w:t xml:space="preserve"> </w:t>
      </w:r>
      <w:r>
        <w:t xml:space="preserve">Dr. Sarah Al-Otaibi, Lead Orthodontist – +966 12 345 6789</w:t>
      </w:r>
    </w:p>
    <w:bookmarkEnd w:id="22"/>
    <w:bookmarkStart w:id="23" w:name="delivery-details"/>
    <w:p>
      <w:pPr>
        <w:pStyle w:val="Heading3"/>
      </w:pPr>
      <w:r>
        <w:t xml:space="preserve">Delivery Details</w:t>
      </w:r>
    </w:p>
    <w:p>
      <w:pPr>
        <w:pStyle w:val="FirstParagraph"/>
      </w:pPr>
      <w:r>
        <w:rPr>
          <w:bCs/>
          <w:b/>
        </w:rPr>
        <w:t xml:space="preserve">Ship To:</w:t>
      </w:r>
      <w:r>
        <w:t xml:space="preserve"> </w:t>
      </w:r>
      <w:r>
        <w:t xml:space="preserve">Al-Nour Orthodontic Center, Receiving Bay 2, Prince Sultan Road, Jeddah, Saudi Arabia</w:t>
      </w:r>
    </w:p>
    <w:p>
      <w:pPr>
        <w:pStyle w:val="BodyText"/>
      </w:pPr>
      <w:r>
        <w:rPr>
          <w:bCs/>
          <w:b/>
        </w:rPr>
        <w:t xml:space="preserve">Delivery Window:</w:t>
      </w:r>
      <w:r>
        <w:t xml:space="preserve"> </w:t>
      </w:r>
      <w:r>
        <w:t xml:space="preserve">22 June 2025 – 29 June 2025</w:t>
      </w:r>
    </w:p>
    <w:p>
      <w:pPr>
        <w:pStyle w:val="BodyText"/>
      </w:pPr>
      <w:r>
        <w:rPr>
          <w:bCs/>
          <w:b/>
        </w:rPr>
        <w:t xml:space="preserve">Incoterms:</w:t>
      </w:r>
      <w:r>
        <w:t xml:space="preserve"> </w:t>
      </w:r>
      <w:r>
        <w:t xml:space="preserve">DDP (Delivered Duty Paid) – Jeddah Port / Local Delivery</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(SACO / Saudi Payments Network)</w:t>
      </w:r>
    </w:p>
    <w:p>
      <w:pPr>
        <w:pStyle w:val="BodyText"/>
      </w:pPr>
      <w:r>
        <w:rPr>
          <w:bCs/>
          <w:b/>
        </w:rPr>
        <w:t xml:space="preserve">Terms:</w:t>
      </w:r>
      <w:r>
        <w:t xml:space="preserve"> </w:t>
      </w:r>
      <w:r>
        <w:t xml:space="preserve">Net 30 days from invoice date</w:t>
      </w:r>
    </w:p>
    <w:p>
      <w:pPr>
        <w:pStyle w:val="BodyText"/>
      </w:pPr>
      <w:r>
        <w:rPr>
          <w:bCs/>
          <w:b/>
        </w:rPr>
        <w:t xml:space="preserve">Bank:</w:t>
      </w:r>
      <w:r>
        <w:t xml:space="preserve"> </w:t>
      </w:r>
      <w:r>
        <w:t xml:space="preserve">Al Rajhi Bank – Jeddah Branch</w:t>
      </w:r>
    </w:p>
    <w:p>
      <w:pPr>
        <w:pStyle w:val="BodyText"/>
      </w:pPr>
      <w:r>
        <w:rPr>
          <w:bCs/>
          <w:b/>
        </w:rPr>
        <w:t xml:space="preserve">IBAN:</w:t>
      </w:r>
      <w:r>
        <w:t xml:space="preserve"> </w:t>
      </w:r>
      <w:r>
        <w:t xml:space="preserve">SA03 8000 0000 6080 1016 7519</w:t>
      </w:r>
    </w:p>
    <w:bookmarkEnd w:id="24"/>
    <w:bookmarkStart w:id="26" w:name="X4de3d949c1df15ef373e5997b44a762867369c1"/>
    <w:p>
      <w:pPr>
        <w:pStyle w:val="Heading2"/>
      </w:pPr>
      <w:r>
        <w:t xml:space="preserve">Line Items – Orthodontic Equipment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Self-Ligating Orthodontic Brackets (Aesthetic Ceramic), 16-piece sets – for the Orthodontist's adult patient caseload</w:t>
            </w:r>
          </w:p>
        </w:tc>
        <w:tc>
          <w:tcPr/>
          <w:p>
            <w:pPr>
              <w:pStyle w:val="Compact"/>
              <w:jc w:val="left"/>
            </w:pPr>
            <w:r>
              <w:t xml:space="preserve">25</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NiTi Arch Wires, 0.014" to 0.022" (full range), 18-inch length – essential for the Orthodontist's treatment protocols</w:t>
            </w:r>
          </w:p>
        </w:tc>
        <w:tc>
          <w:tcPr/>
          <w:p>
            <w:pPr>
              <w:pStyle w:val="Compact"/>
              <w:jc w:val="left"/>
            </w:pPr>
            <w:r>
              <w:t xml:space="preserve">120</w:t>
            </w:r>
          </w:p>
        </w:tc>
        <w:tc>
          <w:tcPr/>
          <w:p>
            <w:pPr>
              <w:pStyle w:val="Compact"/>
              <w:jc w:val="left"/>
            </w:pPr>
            <w:r>
              <w:t xml:space="preserve">Pack</w:t>
            </w:r>
          </w:p>
        </w:tc>
        <w:tc>
          <w:tcPr/>
          <w:p>
            <w:pPr>
              <w:pStyle w:val="Compact"/>
              <w:jc w:val="left"/>
            </w:pPr>
            <w:r>
              <w:t xml:space="preserve">320.00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Clear Aligner Trays (Thermoform), 50-tray boxes – for the Orthodontist's Invisalign-style treatment plans in Saudi Arabia Jeddah</w:t>
            </w:r>
          </w:p>
        </w:tc>
        <w:tc>
          <w:tcPr/>
          <w:p>
            <w:pPr>
              <w:pStyle w:val="Compact"/>
              <w:jc w:val="left"/>
            </w:pPr>
            <w:r>
              <w:t xml:space="preserve">15</w:t>
            </w:r>
          </w:p>
        </w:tc>
        <w:tc>
          <w:tcPr/>
          <w:p>
            <w:pPr>
              <w:pStyle w:val="Compact"/>
              <w:jc w:val="left"/>
            </w:pPr>
            <w:r>
              <w:t xml:space="preserve">Box</w:t>
            </w:r>
          </w:p>
        </w:tc>
        <w:tc>
          <w:tcPr/>
          <w:p>
            <w:pPr>
              <w:pStyle w:val="Compact"/>
              <w:jc w:val="left"/>
            </w:pPr>
            <w:r>
              <w:t xml:space="preserve">4,200.00</w:t>
            </w:r>
          </w:p>
        </w:tc>
        <w:tc>
          <w:tcPr/>
          <w:p>
            <w:pPr>
              <w:pStyle w:val="Compact"/>
              <w:jc w:val="left"/>
            </w:pPr>
            <w:r>
              <w:t xml:space="preserve">63,000.00</w:t>
            </w:r>
          </w:p>
        </w:tc>
      </w:tr>
      <w:tr>
        <w:tc>
          <w:tcPr/>
          <w:p>
            <w:pPr>
              <w:pStyle w:val="Compact"/>
              <w:jc w:val="left"/>
            </w:pPr>
            <w:r>
              <w:t xml:space="preserve">04</w:t>
            </w:r>
          </w:p>
        </w:tc>
        <w:tc>
          <w:tcPr/>
          <w:p>
            <w:pPr>
              <w:pStyle w:val="Compact"/>
              <w:jc w:val="left"/>
            </w:pPr>
            <w:r>
              <w:t xml:space="preserve">Orthodontic Bonding Kit (Adhesive, Etchant, Light-Curing Unit) – for the Orthodontist's bracket placement procedures</w:t>
            </w:r>
          </w:p>
        </w:tc>
        <w:tc>
          <w:tcPr/>
          <w:p>
            <w:pPr>
              <w:pStyle w:val="Compact"/>
              <w:jc w:val="left"/>
            </w:pPr>
            <w:r>
              <w:t xml:space="preserve">10</w:t>
            </w:r>
          </w:p>
        </w:tc>
        <w:tc>
          <w:tcPr/>
          <w:p>
            <w:pPr>
              <w:pStyle w:val="Compact"/>
              <w:jc w:val="left"/>
            </w:pPr>
            <w:r>
              <w:t xml:space="preserve">Kit</w:t>
            </w:r>
          </w:p>
        </w:tc>
        <w:tc>
          <w:tcPr/>
          <w:p>
            <w:pPr>
              <w:pStyle w:val="Compact"/>
              <w:jc w:val="left"/>
            </w:pPr>
            <w:r>
              <w:t xml:space="preserve">1,150.00</w:t>
            </w:r>
          </w:p>
        </w:tc>
        <w:tc>
          <w:tcPr/>
          <w:p>
            <w:pPr>
              <w:pStyle w:val="Compact"/>
              <w:jc w:val="left"/>
            </w:pPr>
            <w:r>
              <w:t xml:space="preserve">11,500.00</w:t>
            </w:r>
          </w:p>
        </w:tc>
      </w:tr>
      <w:tr>
        <w:tc>
          <w:tcPr/>
          <w:p>
            <w:pPr>
              <w:pStyle w:val="Compact"/>
              <w:jc w:val="left"/>
            </w:pPr>
            <w:r>
              <w:t xml:space="preserve">05</w:t>
            </w:r>
          </w:p>
        </w:tc>
        <w:tc>
          <w:tcPr/>
          <w:p>
            <w:pPr>
              <w:pStyle w:val="Compact"/>
              <w:jc w:val="left"/>
            </w:pPr>
            <w:r>
              <w:t xml:space="preserve">Interproximal Reduction (IPR) Strips, 60-grit to 180-grit – for the Orthodontist's space management in Jeddah clinic</w:t>
            </w:r>
          </w:p>
        </w:tc>
        <w:tc>
          <w:tcPr/>
          <w:p>
            <w:pPr>
              <w:pStyle w:val="Compact"/>
              <w:jc w:val="left"/>
            </w:pPr>
            <w:r>
              <w:t xml:space="preserve">40</w:t>
            </w:r>
          </w:p>
        </w:tc>
        <w:tc>
          <w:tcPr/>
          <w:p>
            <w:pPr>
              <w:pStyle w:val="Compact"/>
              <w:jc w:val="left"/>
            </w:pPr>
            <w:r>
              <w:t xml:space="preserve">Pack</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Orthodontic Elastics (Power Chain, 0.010" to 0.022"), assorted colors – for the Orthodontist's daily adjustments</w:t>
            </w:r>
          </w:p>
        </w:tc>
        <w:tc>
          <w:tcPr/>
          <w:p>
            <w:pPr>
              <w:pStyle w:val="Compact"/>
              <w:jc w:val="left"/>
            </w:pPr>
            <w:r>
              <w:t xml:space="preserve">60</w:t>
            </w:r>
          </w:p>
        </w:tc>
        <w:tc>
          <w:tcPr/>
          <w:p>
            <w:pPr>
              <w:pStyle w:val="Compact"/>
              <w:jc w:val="left"/>
            </w:pPr>
            <w:r>
              <w:t xml:space="preserve">Box</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07</w:t>
            </w:r>
          </w:p>
        </w:tc>
        <w:tc>
          <w:tcPr/>
          <w:p>
            <w:pPr>
              <w:pStyle w:val="Compact"/>
              <w:jc w:val="left"/>
            </w:pPr>
            <w:r>
              <w:t xml:space="preserve">Cephalometric X-Ray Film &amp; Digital Sensor (17x23mm) – for the Orthodontist's diagnostic imaging in Saudi Arabia Jeddah</w:t>
            </w:r>
          </w:p>
        </w:tc>
        <w:tc>
          <w:tcPr/>
          <w:p>
            <w:pPr>
              <w:pStyle w:val="Compact"/>
              <w:jc w:val="left"/>
            </w:pPr>
            <w:r>
              <w:t xml:space="preserve">8</w:t>
            </w:r>
          </w:p>
        </w:tc>
        <w:tc>
          <w:tcPr/>
          <w:p>
            <w:pPr>
              <w:pStyle w:val="Compact"/>
              <w:jc w:val="left"/>
            </w:pPr>
            <w:r>
              <w:t xml:space="preserve">Unit</w:t>
            </w:r>
          </w:p>
        </w:tc>
        <w:tc>
          <w:tcPr/>
          <w:p>
            <w:pPr>
              <w:pStyle w:val="Compact"/>
              <w:jc w:val="left"/>
            </w:pPr>
            <w:r>
              <w:t xml:space="preserve">3,800.00</w:t>
            </w:r>
          </w:p>
        </w:tc>
        <w:tc>
          <w:tcPr/>
          <w:p>
            <w:pPr>
              <w:pStyle w:val="Compact"/>
              <w:jc w:val="left"/>
            </w:pPr>
            <w:r>
              <w:t xml:space="preserve">30,400.00</w:t>
            </w:r>
          </w:p>
        </w:tc>
      </w:tr>
      <w:tr>
        <w:tc>
          <w:tcPr/>
          <w:p>
            <w:pPr>
              <w:pStyle w:val="Compact"/>
              <w:jc w:val="left"/>
            </w:pPr>
            <w:r>
              <w:t xml:space="preserve">08</w:t>
            </w:r>
          </w:p>
        </w:tc>
        <w:tc>
          <w:tcPr/>
          <w:p>
            <w:pPr>
              <w:pStyle w:val="Compact"/>
              <w:jc w:val="left"/>
            </w:pPr>
            <w:r>
              <w:t xml:space="preserve">Orthodontic Wax &amp; Patient Comfort Kits (200 units) – for the Orthodontist's post-adjustment patient care</w:t>
            </w:r>
          </w:p>
        </w:tc>
        <w:tc>
          <w:tcPr/>
          <w:p>
            <w:pPr>
              <w:pStyle w:val="Compact"/>
              <w:jc w:val="left"/>
            </w:pPr>
            <w:r>
              <w:t xml:space="preserve">5</w:t>
            </w:r>
          </w:p>
        </w:tc>
        <w:tc>
          <w:tcPr/>
          <w:p>
            <w:pPr>
              <w:pStyle w:val="Compact"/>
              <w:jc w:val="left"/>
            </w:pPr>
            <w:r>
              <w:t xml:space="preserve">Box</w:t>
            </w:r>
          </w:p>
        </w:tc>
        <w:tc>
          <w:tcPr/>
          <w:p>
            <w:pPr>
              <w:pStyle w:val="Compact"/>
              <w:jc w:val="left"/>
            </w:pPr>
            <w:r>
              <w:t xml:space="preserve">420.00</w:t>
            </w:r>
          </w:p>
        </w:tc>
        <w:tc>
          <w:tcPr/>
          <w:p>
            <w:pPr>
              <w:pStyle w:val="Compact"/>
              <w:jc w:val="left"/>
            </w:pPr>
            <w:r>
              <w:t xml:space="preserve">2,100.00</w:t>
            </w:r>
          </w:p>
        </w:tc>
      </w:tr>
      <w:tr>
        <w:tc>
          <w:tcPr/>
          <w:p>
            <w:pPr>
              <w:pStyle w:val="Compact"/>
              <w:jc w:val="left"/>
            </w:pPr>
            <w:r>
              <w:t xml:space="preserve">09</w:t>
            </w:r>
          </w:p>
        </w:tc>
        <w:tc>
          <w:tcPr/>
          <w:p>
            <w:pPr>
              <w:pStyle w:val="Compact"/>
              <w:jc w:val="left"/>
            </w:pPr>
            <w:r>
              <w:t xml:space="preserve">Retainer V-Pak (Hawley &amp; Essix), 50-pair sets – for the Orthodontist's retention phase in Jeddah</w:t>
            </w:r>
          </w:p>
        </w:tc>
        <w:tc>
          <w:tcPr/>
          <w:p>
            <w:pPr>
              <w:pStyle w:val="Compact"/>
              <w:jc w:val="left"/>
            </w:pPr>
            <w:r>
              <w:t xml:space="preserve">12</w:t>
            </w:r>
          </w:p>
        </w:tc>
        <w:tc>
          <w:tcPr/>
          <w:p>
            <w:pPr>
              <w:pStyle w:val="Compact"/>
              <w:jc w:val="left"/>
            </w:pPr>
            <w:r>
              <w:t xml:space="preserve">Set</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10</w:t>
            </w:r>
          </w:p>
        </w:tc>
        <w:tc>
          <w:tcPr/>
          <w:p>
            <w:pPr>
              <w:pStyle w:val="Compact"/>
              <w:jc w:val="left"/>
            </w:pPr>
            <w:r>
              <w:t xml:space="preserve">Orthodontic Forceps, Pliers &amp; Scissors (Stainless Steel, Autoclavable) – for the Orthodontist's instrument tray</w:t>
            </w:r>
          </w:p>
        </w:tc>
        <w:tc>
          <w:tcPr/>
          <w:p>
            <w:pPr>
              <w:pStyle w:val="Compact"/>
              <w:jc w:val="left"/>
            </w:pPr>
            <w:r>
              <w:t xml:space="preserve">6</w:t>
            </w:r>
          </w:p>
        </w:tc>
        <w:tc>
          <w:tcPr/>
          <w:p>
            <w:pPr>
              <w:pStyle w:val="Compact"/>
              <w:jc w:val="left"/>
            </w:pPr>
            <w:r>
              <w:t xml:space="preserve">Set</w:t>
            </w:r>
          </w:p>
        </w:tc>
        <w:tc>
          <w:tcPr/>
          <w:p>
            <w:pPr>
              <w:pStyle w:val="Compact"/>
              <w:jc w:val="left"/>
            </w:pPr>
            <w:r>
              <w:t xml:space="preserve">2,350.00</w:t>
            </w:r>
          </w:p>
        </w:tc>
        <w:tc>
          <w:tcPr/>
          <w:p>
            <w:pPr>
              <w:pStyle w:val="Compact"/>
              <w:jc w:val="left"/>
            </w:pPr>
            <w:r>
              <w:t xml:space="preserve">14,100.00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227,010.00</w:t>
            </w:r>
          </w:p>
        </w:tc>
      </w:tr>
      <w:tr>
        <w:tc>
          <w:tcPr/>
          <w:p>
            <w:pPr>
              <w:pStyle w:val="Compact"/>
              <w:jc w:val="left"/>
            </w:pPr>
            <w:r>
              <w:t xml:space="preserve">VAT @ 15% (SAR)</w:t>
            </w:r>
          </w:p>
        </w:tc>
        <w:tc>
          <w:tcPr/>
          <w:p>
            <w:pPr>
              <w:pStyle w:val="Compact"/>
              <w:jc w:val="right"/>
            </w:pPr>
            <w:r>
              <w:t xml:space="preserve">34,051.50</w:t>
            </w:r>
          </w:p>
        </w:tc>
      </w:tr>
      <w:tr>
        <w:tc>
          <w:tcPr/>
          <w:p>
            <w:pPr>
              <w:pStyle w:val="Compact"/>
              <w:jc w:val="left"/>
            </w:pPr>
            <w:r>
              <w:t xml:space="preserve">Delivery &amp; Handling – Jeddah (SAR)</w:t>
            </w:r>
          </w:p>
        </w:tc>
        <w:tc>
          <w:tcPr/>
          <w:p>
            <w:pPr>
              <w:pStyle w:val="Compact"/>
              <w:jc w:val="right"/>
            </w:pPr>
            <w:r>
              <w:t xml:space="preserve">1,500.00</w:t>
            </w:r>
          </w:p>
        </w:tc>
      </w:tr>
      <w:tr>
        <w:tc>
          <w:tcPr/>
          <w:p>
            <w:pPr>
              <w:pStyle w:val="Compact"/>
              <w:jc w:val="left"/>
            </w:pPr>
            <w:r>
              <w:t xml:space="preserve">Grand Total (SAR)</w:t>
            </w:r>
          </w:p>
        </w:tc>
        <w:tc>
          <w:tcPr/>
          <w:p>
            <w:pPr>
              <w:pStyle w:val="Compact"/>
              <w:jc w:val="right"/>
            </w:pPr>
            <w:r>
              <w:t xml:space="preserve">262,561.50</w:t>
            </w:r>
          </w:p>
        </w:tc>
      </w:tr>
    </w:tbl>
    <w:bookmarkStart w:id="25" w:name="terms-conditions-regulatory-compliance"/>
    <w:p>
      <w:pPr>
        <w:pStyle w:val="Heading3"/>
      </w:pPr>
      <w:r>
        <w:t xml:space="preserve">Terms, Conditions &amp; Regulatory Compliance</w:t>
      </w:r>
    </w:p>
    <w:p>
      <w:pPr>
        <w:numPr>
          <w:ilvl w:val="0"/>
          <w:numId w:val="1001"/>
        </w:numPr>
        <w:pStyle w:val="Compact"/>
      </w:pPr>
      <w:r>
        <w:t xml:space="preserve">This Purchase Order is issued by Al-Nour Orthodontic Center, a licensed dental facility operating under the Ministry of Health (MOH) of Saudi Arabia, located in Jeddah. All orthodontic products procured under this Purchase Order must comply with the Saudi Food and Drug Authority (SFDA) registration requirements for medical devices and orthodontic materials.</w:t>
      </w:r>
    </w:p>
    <w:p>
      <w:pPr>
        <w:numPr>
          <w:ilvl w:val="0"/>
          <w:numId w:val="1001"/>
        </w:numPr>
        <w:pStyle w:val="Compact"/>
      </w:pPr>
      <w:r>
        <w:t xml:space="preserve">The Lead Orthodontist, Dr. Sarah Al-Otaibi, holds a valid practicing license issued by the Saudi Commission for Health Specialties (SCFHS) and is the authorized clinical recipient of all orthodontic supplies listed herein. The Orthodontist shall inspect all deliveries within 48 hours of arrival at the Jeddah facility and report any discrepancies in writing to the supplier.</w:t>
      </w:r>
    </w:p>
    <w:p>
      <w:pPr>
        <w:numPr>
          <w:ilvl w:val="0"/>
          <w:numId w:val="1001"/>
        </w:numPr>
        <w:pStyle w:val="Compact"/>
      </w:pPr>
      <w:r>
        <w:t xml:space="preserve">All products must be shipped with valid certificates of origin, SFDA import permits, and batch/lot traceability documentation. The supplier warrants that all orthodontic brackets, wires, aligners, and instruments are CE-marked and meet ISO 13485 medical device quality standards.</w:t>
      </w:r>
    </w:p>
    <w:p>
      <w:pPr>
        <w:numPr>
          <w:ilvl w:val="0"/>
          <w:numId w:val="1001"/>
        </w:numPr>
        <w:pStyle w:val="Compact"/>
      </w:pPr>
      <w:r>
        <w:t xml:space="preserve">Payment shall be processed via bank transfer through the Saudi Payments Network (SACO) within thirty (30) calendar days of the supplier's invoice date, provided that all goods have been received and accepted by the Orthodontist at the Jeddah clinic. Late payments shall accrue interest at 1.5% per month as per Saudi commercial law.</w:t>
      </w:r>
    </w:p>
    <w:p>
      <w:pPr>
        <w:numPr>
          <w:ilvl w:val="0"/>
          <w:numId w:val="1001"/>
        </w:numPr>
        <w:pStyle w:val="Compact"/>
      </w:pPr>
      <w:r>
        <w:t xml:space="preserve">The supplier shall deliver all items to the specified address in Jeddah, Saudi Arabia, within the stated delivery window. Risk of loss transfers to the buyer upon physical delivery and signed receipt at the Al-Nour Orthodontic Center receiving bay.</w:t>
      </w:r>
    </w:p>
    <w:p>
      <w:pPr>
        <w:numPr>
          <w:ilvl w:val="0"/>
          <w:numId w:val="1001"/>
        </w:numPr>
        <w:pStyle w:val="Compact"/>
      </w:pPr>
      <w:r>
        <w:t xml:space="preserve">This Purchase Order is governed by the laws of the Kingdom of Saudi Arabia. Any disputes arising from this Purchase Order shall be resolved through the Jeddah Commercial Court. The parties agree to attempt amicable resolution before initiating legal proceedings.</w:t>
      </w:r>
    </w:p>
    <w:p>
      <w:pPr>
        <w:numPr>
          <w:ilvl w:val="0"/>
          <w:numId w:val="1001"/>
        </w:numPr>
        <w:pStyle w:val="Compact"/>
      </w:pPr>
      <w:r>
        <w:t xml:space="preserve">The Orthodontist reserves the right to reject any lot of orthodontic materials that fails to meet the clinical specifications outlined in this Purchase Order or that does not carry valid SFDA registration. Rejected items shall be returned at the supplier's expense.</w:t>
      </w:r>
    </w:p>
    <w:p>
      <w:pPr>
        <w:numPr>
          <w:ilvl w:val="0"/>
          <w:numId w:val="1001"/>
        </w:numPr>
        <w:pStyle w:val="Compact"/>
      </w:pPr>
      <w:r>
        <w:t xml:space="preserve">All personal data processed under this Purchase Order shall comply with the Saudi Personal Data Protection Law (PDPL) and the data privacy regulations enforced in Saudi Arabia Jeddah.</w:t>
      </w:r>
    </w:p>
    <w:p>
      <w:pPr>
        <w:numPr>
          <w:ilvl w:val="0"/>
          <w:numId w:val="1001"/>
        </w:numPr>
        <w:pStyle w:val="Compact"/>
      </w:pPr>
      <w:r>
        <w:t xml:space="preserve">This Purchase Order becomes effective upon signature by both parties and remains valid until all line items have been delivered, inspected, and paid in full. Amendments must be made in writing and signed by both the Orthodontist and the authorized representative of the supplier.</w:t>
      </w:r>
    </w:p>
    <w:bookmarkEnd w:id="25"/>
    <w:p>
      <w:pPr>
        <w:pStyle w:val="FirstParagraph"/>
      </w:pPr>
      <w:r>
        <w:rPr>
          <w:bCs/>
          <w:b/>
        </w:rPr>
        <w:t xml:space="preserve">Authorized Signatory – Buyer</w:t>
      </w:r>
    </w:p>
    <w:p>
      <w:pPr>
        <w:pStyle w:val="BodyText"/>
      </w:pPr>
      <w:r>
        <w:t xml:space="preserve">Dr. Sarah Al-Otaibi</w:t>
      </w:r>
    </w:p>
    <w:p>
      <w:pPr>
        <w:pStyle w:val="BodyText"/>
      </w:pPr>
      <w:r>
        <w:t xml:space="preserve">Lead Orthodontist, Al-Nour Orthodontic Center</w:t>
      </w:r>
    </w:p>
    <w:p>
      <w:pPr>
        <w:pStyle w:val="BodyText"/>
      </w:pPr>
      <w:r>
        <w:t xml:space="preserve">Jeddah, Saudi Arabia</w:t>
      </w:r>
    </w:p>
    <w:p>
      <w:pPr>
        <w:pStyle w:val="BodyText"/>
      </w:pPr>
      <w:r>
        <w:t xml:space="preserve">Signature &amp; Date</w:t>
      </w:r>
    </w:p>
    <w:p>
      <w:pPr>
        <w:pStyle w:val="BodyText"/>
      </w:pPr>
      <w:r>
        <w:rPr>
          <w:bCs/>
          <w:b/>
        </w:rPr>
        <w:t xml:space="preserve">Authorized Signatory – Supplier</w:t>
      </w:r>
    </w:p>
    <w:p>
      <w:pPr>
        <w:pStyle w:val="BodyText"/>
      </w:pPr>
      <w:r>
        <w:t xml:space="preserve">Mr. Khalid Al-Rashidi</w:t>
      </w:r>
    </w:p>
    <w:p>
      <w:pPr>
        <w:pStyle w:val="BodyText"/>
      </w:pPr>
      <w:r>
        <w:t xml:space="preserve">General Manager, Gulf Dental Supplies Co., Ltd.</w:t>
      </w:r>
    </w:p>
    <w:p>
      <w:pPr>
        <w:pStyle w:val="BodyText"/>
      </w:pPr>
      <w:r>
        <w:t xml:space="preserve">Jeddah, Saudi Arabia</w:t>
      </w:r>
    </w:p>
    <w:p>
      <w:pPr>
        <w:pStyle w:val="BodyText"/>
      </w:pPr>
      <w:r>
        <w:t xml:space="preserve">Signature &amp; Date</w:t>
      </w:r>
    </w:p>
    <w:p>
      <w:pPr>
        <w:pStyle w:val="BodyText"/>
      </w:pPr>
      <w:r>
        <w:t xml:space="preserve">This Purchase Order (PO-ORTH-JED-2025-0487) was prepared for the orthodontic practice of Al-Nour Orthodontic Center, Jeddah, Saudi Arabia. All orthodontic materials and equipment referenced herein are intended for use by a licensed Orthodontist under SCFHS supervision. This document is valid for a period of 90 days from the date of issue. For inquiries, contact the procurement department at procurement@alnour-ortho-sa.com or +966 12 345 6789.</w:t>
      </w:r>
    </w:p>
    <w:p>
      <w:pPr>
        <w:pStyle w:val="BodyText"/>
      </w:pPr>
      <w:r>
        <w:t xml:space="preserve">© 2025 Al-Nour Orthodontic Center – Jeddah, Saudi Arabia.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 Saudi Arabia Jeddah</dc:title>
  <dc:creator/>
  <dc:language>en</dc:language>
  <cp:keywords/>
  <dcterms:created xsi:type="dcterms:W3CDTF">2026-10-10T08:41:19Z</dcterms:created>
  <dcterms:modified xsi:type="dcterms:W3CDTF">2026-10-10T08:41:19Z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