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SmileCare Orthodontic Center Co., Ltd.</w:t>
      </w:r>
    </w:p>
    <w:p>
      <w:pPr>
        <w:pStyle w:val="BodyText"/>
      </w:pPr>
      <w:r>
        <w:t xml:space="preserve">128 Sukhumvit Road, Soi 21, Khlong Toei Nuea, Watthana, Bangkok 10110, Thailand</w:t>
      </w:r>
    </w:p>
    <w:p>
      <w:pPr>
        <w:pStyle w:val="BodyText"/>
      </w:pPr>
      <w:r>
        <w:t xml:space="preserve">Tel: +66-2-255-8890 | Email: procurement@smilecare-ortho-bangkok.com | VAT Reg. No: 0105558899123</w:t>
      </w:r>
    </w:p>
    <w:bookmarkEnd w:id="20"/>
    <w:p>
      <w:pPr>
        <w:pStyle w:val="BodyText"/>
      </w:pPr>
      <w:r>
        <w:rPr>
          <w:bCs/>
          <w:b/>
        </w:rPr>
        <w:t xml:space="preserve">Purchase Order No.:</w:t>
      </w:r>
      <w:r>
        <w:t xml:space="preserve"> </w:t>
      </w:r>
      <w:r>
        <w:t xml:space="preserve">PO-THB-2025-0417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Incoterms:</w:t>
      </w:r>
      <w:r>
        <w:t xml:space="preserve"> </w:t>
      </w:r>
      <w:r>
        <w:t xml:space="preserve">DDP Bangkok</w:t>
      </w:r>
    </w:p>
    <w:bookmarkStart w:id="21" w:name="supplier-vendor-information"/>
    <w:p>
      <w:pPr>
        <w:pStyle w:val="Heading2"/>
      </w:pPr>
      <w:r>
        <w:t xml:space="preserve">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OrthoSupply Asia Pacific Co., Ltd.</w:t>
            </w:r>
          </w:p>
        </w:tc>
      </w:tr>
      <w:tr>
        <w:tc>
          <w:tcPr/>
          <w:p>
            <w:pPr>
              <w:pStyle w:val="Compact"/>
              <w:jc w:val="left"/>
            </w:pPr>
            <w:r>
              <w:t xml:space="preserve">Address</w:t>
            </w:r>
          </w:p>
        </w:tc>
        <w:tc>
          <w:tcPr/>
          <w:p>
            <w:pPr>
              <w:pStyle w:val="Compact"/>
              <w:jc w:val="left"/>
            </w:pPr>
            <w:r>
              <w:t xml:space="preserve">45 Rama IX Road, Huai Khwang, Bangkok 10310, Thailand</w:t>
            </w:r>
          </w:p>
        </w:tc>
      </w:tr>
      <w:tr>
        <w:tc>
          <w:tcPr/>
          <w:p>
            <w:pPr>
              <w:pStyle w:val="Compact"/>
              <w:jc w:val="left"/>
            </w:pPr>
            <w:r>
              <w:t xml:space="preserve">Contact Person</w:t>
            </w:r>
          </w:p>
        </w:tc>
        <w:tc>
          <w:tcPr/>
          <w:p>
            <w:pPr>
              <w:pStyle w:val="Compact"/>
              <w:jc w:val="left"/>
            </w:pPr>
            <w:r>
              <w:t xml:space="preserve">Mr. Somchai Prasert, Procurement Manager</w:t>
            </w:r>
          </w:p>
        </w:tc>
      </w:tr>
      <w:tr>
        <w:tc>
          <w:tcPr/>
          <w:p>
            <w:pPr>
              <w:pStyle w:val="Compact"/>
              <w:jc w:val="left"/>
            </w:pPr>
            <w:r>
              <w:t xml:space="preserve">Phone</w:t>
            </w:r>
          </w:p>
        </w:tc>
        <w:tc>
          <w:tcPr/>
          <w:p>
            <w:pPr>
              <w:pStyle w:val="Compact"/>
              <w:jc w:val="left"/>
            </w:pPr>
            <w:r>
              <w:t xml:space="preserve">+66-2-714-3322</w:t>
            </w:r>
          </w:p>
        </w:tc>
      </w:tr>
      <w:tr>
        <w:tc>
          <w:tcPr/>
          <w:p>
            <w:pPr>
              <w:pStyle w:val="Compact"/>
              <w:jc w:val="left"/>
            </w:pPr>
            <w:r>
              <w:t xml:space="preserve">Email</w:t>
            </w:r>
          </w:p>
        </w:tc>
        <w:tc>
          <w:tcPr/>
          <w:p>
            <w:pPr>
              <w:pStyle w:val="Compact"/>
              <w:jc w:val="left"/>
            </w:pPr>
            <w:r>
              <w:t xml:space="preserve">orders@orthosupply-apac.com</w:t>
            </w:r>
          </w:p>
        </w:tc>
      </w:tr>
      <w:tr>
        <w:tc>
          <w:tcPr/>
          <w:p>
            <w:pPr>
              <w:pStyle w:val="Compact"/>
              <w:jc w:val="left"/>
            </w:pPr>
            <w:r>
              <w:t xml:space="preserve">Tax ID</w:t>
            </w:r>
          </w:p>
        </w:tc>
        <w:tc>
          <w:tcPr/>
          <w:p>
            <w:pPr>
              <w:pStyle w:val="Compact"/>
              <w:jc w:val="left"/>
            </w:pPr>
            <w:r>
              <w:t xml:space="preserve">0105557788456</w:t>
            </w:r>
          </w:p>
        </w:tc>
      </w:tr>
    </w:tbl>
    <w:bookmarkEnd w:id="21"/>
    <w:bookmarkStart w:id="22" w:name="ship-to-delivery-address"/>
    <w:p>
      <w:pPr>
        <w:pStyle w:val="Heading2"/>
      </w:pPr>
      <w:r>
        <w:t xml:space="preserve">SHIP-TO / DELIVERY ADDRESS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Delivery Location</w:t>
            </w:r>
          </w:p>
        </w:tc>
        <w:tc>
          <w:tcPr/>
          <w:p>
            <w:pPr>
              <w:pStyle w:val="Compact"/>
              <w:jc w:val="left"/>
            </w:pPr>
            <w:r>
              <w:t xml:space="preserve">SmileCare Orthodontic Center, 128 Sukhumvit Road, Soi 21, Khlong Toei Nuea, Watthana, Bangkok 10110, Thailand</w:t>
            </w:r>
          </w:p>
        </w:tc>
      </w:tr>
      <w:tr>
        <w:tc>
          <w:tcPr/>
          <w:p>
            <w:pPr>
              <w:pStyle w:val="Compact"/>
              <w:jc w:val="left"/>
            </w:pPr>
            <w:r>
              <w:t xml:space="preserve">Receiving Contact</w:t>
            </w:r>
          </w:p>
        </w:tc>
        <w:tc>
          <w:tcPr/>
          <w:p>
            <w:pPr>
              <w:pStyle w:val="Compact"/>
              <w:jc w:val="left"/>
            </w:pPr>
            <w:r>
              <w:t xml:space="preserve">Dr. Ananya Rattanakul, Lead Orthodontist</w:t>
            </w:r>
          </w:p>
        </w:tc>
      </w:tr>
      <w:tr>
        <w:tc>
          <w:tcPr/>
          <w:p>
            <w:pPr>
              <w:pStyle w:val="Compact"/>
              <w:jc w:val="left"/>
            </w:pPr>
            <w:r>
              <w:t xml:space="preserve">Phone</w:t>
            </w:r>
          </w:p>
        </w:tc>
        <w:tc>
          <w:tcPr/>
          <w:p>
            <w:pPr>
              <w:pStyle w:val="Compact"/>
              <w:jc w:val="left"/>
            </w:pPr>
            <w:r>
              <w:t xml:space="preserve">+66-89-556-7788</w:t>
            </w:r>
          </w:p>
        </w:tc>
      </w:tr>
      <w:tr>
        <w:tc>
          <w:tcPr/>
          <w:p>
            <w:pPr>
              <w:pStyle w:val="Compact"/>
              <w:jc w:val="left"/>
            </w:pPr>
            <w:r>
              <w:t xml:space="preserve">Delivery Window</w:t>
            </w:r>
          </w:p>
        </w:tc>
        <w:tc>
          <w:tcPr/>
          <w:p>
            <w:pPr>
              <w:pStyle w:val="Compact"/>
              <w:jc w:val="left"/>
            </w:pPr>
            <w:r>
              <w:t xml:space="preserve">Monday to Friday, 09:00 – 16:00 (Bangkok local time)</w:t>
            </w:r>
          </w:p>
        </w:tc>
      </w:tr>
    </w:tbl>
    <w:p>
      <w:pPr>
        <w:pStyle w:val="BodyText"/>
      </w:pPr>
      <w:r>
        <w:t xml:space="preserve">LINE ITEMS – ORTHODONTIC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Part / SKU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Self-Ligating Orthodontic Brackets – Ceramic, 0.022" slot (full arch set, upper and lower)</w:t>
            </w:r>
          </w:p>
        </w:tc>
        <w:tc>
          <w:tcPr/>
          <w:p>
            <w:pPr>
              <w:pStyle w:val="Compact"/>
              <w:jc w:val="left"/>
            </w:pPr>
            <w:r>
              <w:t xml:space="preserve">SLB-CER-022</w:t>
            </w:r>
          </w:p>
        </w:tc>
        <w:tc>
          <w:tcPr/>
          <w:p>
            <w:pPr>
              <w:pStyle w:val="Compact"/>
              <w:jc w:val="left"/>
            </w:pPr>
            <w:r>
              <w:t xml:space="preserve">40</w:t>
            </w:r>
          </w:p>
        </w:tc>
        <w:tc>
          <w:tcPr/>
          <w:p>
            <w:pPr>
              <w:pStyle w:val="Compact"/>
              <w:jc w:val="left"/>
            </w:pPr>
            <w:r>
              <w:t xml:space="preserve">Set</w:t>
            </w:r>
          </w:p>
        </w:tc>
        <w:tc>
          <w:tcPr/>
          <w:p>
            <w:pPr>
              <w:pStyle w:val="Compact"/>
              <w:jc w:val="left"/>
            </w:pPr>
            <w:r>
              <w:t xml:space="preserve">4,850.00</w:t>
            </w:r>
          </w:p>
        </w:tc>
        <w:tc>
          <w:tcPr/>
          <w:p>
            <w:pPr>
              <w:pStyle w:val="Compact"/>
              <w:jc w:val="left"/>
            </w:pPr>
            <w:r>
              <w:t xml:space="preserve">194,000.00</w:t>
            </w:r>
          </w:p>
        </w:tc>
      </w:tr>
      <w:tr>
        <w:tc>
          <w:tcPr/>
          <w:p>
            <w:pPr>
              <w:pStyle w:val="Compact"/>
              <w:jc w:val="left"/>
            </w:pPr>
            <w:r>
              <w:t xml:space="preserve">2</w:t>
            </w:r>
          </w:p>
        </w:tc>
        <w:tc>
          <w:tcPr/>
          <w:p>
            <w:pPr>
              <w:pStyle w:val="Compact"/>
              <w:jc w:val="left"/>
            </w:pPr>
            <w:r>
              <w:t xml:space="preserve">NiTi Archwires – 0.014" to 0.021" x 0.025" (12-pack per size)</w:t>
            </w:r>
          </w:p>
        </w:tc>
        <w:tc>
          <w:tcPr/>
          <w:p>
            <w:pPr>
              <w:pStyle w:val="Compact"/>
              <w:jc w:val="left"/>
            </w:pPr>
            <w:r>
              <w:t xml:space="preserve">NITI-AW-12PK</w:t>
            </w:r>
          </w:p>
        </w:tc>
        <w:tc>
          <w:tcPr/>
          <w:p>
            <w:pPr>
              <w:pStyle w:val="Compact"/>
              <w:jc w:val="left"/>
            </w:pPr>
            <w:r>
              <w:t xml:space="preserve">60</w:t>
            </w:r>
          </w:p>
        </w:tc>
        <w:tc>
          <w:tcPr/>
          <w:p>
            <w:pPr>
              <w:pStyle w:val="Compact"/>
              <w:jc w:val="left"/>
            </w:pPr>
            <w:r>
              <w:t xml:space="preserve">Pack</w:t>
            </w:r>
          </w:p>
        </w:tc>
        <w:tc>
          <w:tcPr/>
          <w:p>
            <w:pPr>
              <w:pStyle w:val="Compact"/>
              <w:jc w:val="left"/>
            </w:pPr>
            <w:r>
              <w:t xml:space="preserve">1,250.00</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Elastomeric Ligatures – Assorted Colors, 1000 pcs per box</w:t>
            </w:r>
          </w:p>
        </w:tc>
        <w:tc>
          <w:tcPr/>
          <w:p>
            <w:pPr>
              <w:pStyle w:val="Compact"/>
              <w:jc w:val="left"/>
            </w:pPr>
            <w:r>
              <w:t xml:space="preserve">ELAST-1000-ASS</w:t>
            </w:r>
          </w:p>
        </w:tc>
        <w:tc>
          <w:tcPr/>
          <w:p>
            <w:pPr>
              <w:pStyle w:val="Compact"/>
              <w:jc w:val="left"/>
            </w:pPr>
            <w:r>
              <w:t xml:space="preserve">25</w:t>
            </w:r>
          </w:p>
        </w:tc>
        <w:tc>
          <w:tcPr/>
          <w:p>
            <w:pPr>
              <w:pStyle w:val="Compact"/>
              <w:jc w:val="left"/>
            </w:pPr>
            <w:r>
              <w:t xml:space="preserve">Box</w:t>
            </w:r>
          </w:p>
        </w:tc>
        <w:tc>
          <w:tcPr/>
          <w:p>
            <w:pPr>
              <w:pStyle w:val="Compact"/>
              <w:jc w:val="left"/>
            </w:pPr>
            <w:r>
              <w:t xml:space="preserve">680.00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Orthodontic Bonding Agent Kit (primer, adhesive, light-cure)</w:t>
            </w:r>
          </w:p>
        </w:tc>
        <w:tc>
          <w:tcPr/>
          <w:p>
            <w:pPr>
              <w:pStyle w:val="Compact"/>
              <w:jc w:val="left"/>
            </w:pPr>
            <w:r>
              <w:t xml:space="preserve">BOND-ORTHO-KIT</w:t>
            </w:r>
          </w:p>
        </w:tc>
        <w:tc>
          <w:tcPr/>
          <w:p>
            <w:pPr>
              <w:pStyle w:val="Compact"/>
              <w:jc w:val="left"/>
            </w:pPr>
            <w:r>
              <w:t xml:space="preserve">30</w:t>
            </w:r>
          </w:p>
        </w:tc>
        <w:tc>
          <w:tcPr/>
          <w:p>
            <w:pPr>
              <w:pStyle w:val="Compact"/>
              <w:jc w:val="left"/>
            </w:pPr>
            <w:r>
              <w:t xml:space="preserve">Kit</w:t>
            </w:r>
          </w:p>
        </w:tc>
        <w:tc>
          <w:tcPr/>
          <w:p>
            <w:pPr>
              <w:pStyle w:val="Compact"/>
              <w:jc w:val="left"/>
            </w:pPr>
            <w:r>
              <w:t xml:space="preserve">2,340.00</w:t>
            </w:r>
          </w:p>
        </w:tc>
        <w:tc>
          <w:tcPr/>
          <w:p>
            <w:pPr>
              <w:pStyle w:val="Compact"/>
              <w:jc w:val="left"/>
            </w:pPr>
            <w:r>
              <w:t xml:space="preserve">70,200.00</w:t>
            </w:r>
          </w:p>
        </w:tc>
      </w:tr>
      <w:tr>
        <w:tc>
          <w:tcPr/>
          <w:p>
            <w:pPr>
              <w:pStyle w:val="Compact"/>
              <w:jc w:val="left"/>
            </w:pPr>
            <w:r>
              <w:t xml:space="preserve">5</w:t>
            </w:r>
          </w:p>
        </w:tc>
        <w:tc>
          <w:tcPr/>
          <w:p>
            <w:pPr>
              <w:pStyle w:val="Compact"/>
              <w:jc w:val="left"/>
            </w:pPr>
            <w:r>
              <w:t xml:space="preserve">Interproximal Reduction (IPR) Strips – Medium Grit, 50 per pack</w:t>
            </w:r>
          </w:p>
        </w:tc>
        <w:tc>
          <w:tcPr/>
          <w:p>
            <w:pPr>
              <w:pStyle w:val="Compact"/>
              <w:jc w:val="left"/>
            </w:pPr>
            <w:r>
              <w:t xml:space="preserve">IPR-MED-50</w:t>
            </w:r>
          </w:p>
        </w:tc>
        <w:tc>
          <w:tcPr/>
          <w:p>
            <w:pPr>
              <w:pStyle w:val="Compact"/>
              <w:jc w:val="left"/>
            </w:pPr>
            <w:r>
              <w:t xml:space="preserve">50</w:t>
            </w:r>
          </w:p>
        </w:tc>
        <w:tc>
          <w:tcPr/>
          <w:p>
            <w:pPr>
              <w:pStyle w:val="Compact"/>
              <w:jc w:val="left"/>
            </w:pPr>
            <w:r>
              <w:t xml:space="preserve">Pack</w:t>
            </w:r>
          </w:p>
        </w:tc>
        <w:tc>
          <w:tcPr/>
          <w:p>
            <w:pPr>
              <w:pStyle w:val="Compact"/>
              <w:jc w:val="left"/>
            </w:pPr>
            <w:r>
              <w:t xml:space="preserve">420.00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Orthodontic Impression Trays – Stock, Assorted Sizes (20 per set)</w:t>
            </w:r>
          </w:p>
        </w:tc>
        <w:tc>
          <w:tcPr/>
          <w:p>
            <w:pPr>
              <w:pStyle w:val="Compact"/>
              <w:jc w:val="left"/>
            </w:pPr>
            <w:r>
              <w:t xml:space="preserve">IMP-TRAY-20</w:t>
            </w:r>
          </w:p>
        </w:tc>
        <w:tc>
          <w:tcPr/>
          <w:p>
            <w:pPr>
              <w:pStyle w:val="Compact"/>
              <w:jc w:val="left"/>
            </w:pPr>
            <w:r>
              <w:t xml:space="preserve">15</w:t>
            </w:r>
          </w:p>
        </w:tc>
        <w:tc>
          <w:tcPr/>
          <w:p>
            <w:pPr>
              <w:pStyle w:val="Compact"/>
              <w:jc w:val="left"/>
            </w:pPr>
            <w:r>
              <w:t xml:space="preserve">Set</w:t>
            </w:r>
          </w:p>
        </w:tc>
        <w:tc>
          <w:tcPr/>
          <w:p>
            <w:pPr>
              <w:pStyle w:val="Compact"/>
              <w:jc w:val="left"/>
            </w:pPr>
            <w:r>
              <w:t xml:space="preserve">1,890.00</w:t>
            </w:r>
          </w:p>
        </w:tc>
        <w:tc>
          <w:tcPr/>
          <w:p>
            <w:pPr>
              <w:pStyle w:val="Compact"/>
              <w:jc w:val="left"/>
            </w:pPr>
            <w:r>
              <w:t xml:space="preserve">28,350.00</w:t>
            </w:r>
          </w:p>
        </w:tc>
      </w:tr>
      <w:tr>
        <w:tc>
          <w:tcPr/>
          <w:p>
            <w:pPr>
              <w:pStyle w:val="Compact"/>
              <w:jc w:val="left"/>
            </w:pPr>
            <w:r>
              <w:t xml:space="preserve">7</w:t>
            </w:r>
          </w:p>
        </w:tc>
        <w:tc>
          <w:tcPr/>
          <w:p>
            <w:pPr>
              <w:pStyle w:val="Compact"/>
              <w:jc w:val="left"/>
            </w:pPr>
            <w:r>
              <w:t xml:space="preserve">Clear Aligner Retainer Material – Thermoplastic Sheets, 1.5mm (100 sheets)</w:t>
            </w:r>
          </w:p>
        </w:tc>
        <w:tc>
          <w:tcPr/>
          <w:p>
            <w:pPr>
              <w:pStyle w:val="Compact"/>
              <w:jc w:val="left"/>
            </w:pPr>
            <w:r>
              <w:t xml:space="preserve">ALIGN-TP-150</w:t>
            </w:r>
          </w:p>
        </w:tc>
        <w:tc>
          <w:tcPr/>
          <w:p>
            <w:pPr>
              <w:pStyle w:val="Compact"/>
              <w:jc w:val="left"/>
            </w:pPr>
            <w:r>
              <w:t xml:space="preserve">20</w:t>
            </w:r>
          </w:p>
        </w:tc>
        <w:tc>
          <w:tcPr/>
          <w:p>
            <w:pPr>
              <w:pStyle w:val="Compact"/>
              <w:jc w:val="left"/>
            </w:pPr>
            <w:r>
              <w:t xml:space="preserve">Roll</w:t>
            </w:r>
          </w:p>
        </w:tc>
        <w:tc>
          <w:tcPr/>
          <w:p>
            <w:pPr>
              <w:pStyle w:val="Compact"/>
              <w:jc w:val="left"/>
            </w:pPr>
            <w:r>
              <w:t xml:space="preserve">3,560.00</w:t>
            </w:r>
          </w:p>
        </w:tc>
        <w:tc>
          <w:tcPr/>
          <w:p>
            <w:pPr>
              <w:pStyle w:val="Compact"/>
              <w:jc w:val="left"/>
            </w:pPr>
            <w:r>
              <w:t xml:space="preserve">71,200.00</w:t>
            </w:r>
          </w:p>
        </w:tc>
      </w:tr>
      <w:tr>
        <w:tc>
          <w:tcPr/>
          <w:p>
            <w:pPr>
              <w:pStyle w:val="Compact"/>
              <w:jc w:val="left"/>
            </w:pPr>
            <w:r>
              <w:t xml:space="preserve">8</w:t>
            </w:r>
          </w:p>
        </w:tc>
        <w:tc>
          <w:tcPr/>
          <w:p>
            <w:pPr>
              <w:pStyle w:val="Compact"/>
              <w:jc w:val="left"/>
            </w:pPr>
            <w:r>
              <w:t xml:space="preserve">Orthodontic Forceps and Pliers Set (12-piece professional set)</w:t>
            </w:r>
          </w:p>
        </w:tc>
        <w:tc>
          <w:tcPr/>
          <w:p>
            <w:pPr>
              <w:pStyle w:val="Compact"/>
              <w:jc w:val="left"/>
            </w:pPr>
            <w:r>
              <w:t xml:space="preserve">ORTHO-PLR-12</w:t>
            </w:r>
          </w:p>
        </w:tc>
        <w:tc>
          <w:tcPr/>
          <w:p>
            <w:pPr>
              <w:pStyle w:val="Compact"/>
              <w:jc w:val="left"/>
            </w:pPr>
            <w:r>
              <w:t xml:space="preserve">8</w:t>
            </w:r>
          </w:p>
        </w:tc>
        <w:tc>
          <w:tcPr/>
          <w:p>
            <w:pPr>
              <w:pStyle w:val="Compact"/>
              <w:jc w:val="left"/>
            </w:pPr>
            <w:r>
              <w:t xml:space="preserve">Set</w:t>
            </w:r>
          </w:p>
        </w:tc>
        <w:tc>
          <w:tcPr/>
          <w:p>
            <w:pPr>
              <w:pStyle w:val="Compact"/>
              <w:jc w:val="left"/>
            </w:pPr>
            <w:r>
              <w:t xml:space="preserve">12,400.00</w:t>
            </w:r>
          </w:p>
        </w:tc>
        <w:tc>
          <w:tcPr/>
          <w:p>
            <w:pPr>
              <w:pStyle w:val="Compact"/>
              <w:jc w:val="left"/>
            </w:pPr>
            <w:r>
              <w:t xml:space="preserve">99,200.00</w:t>
            </w:r>
          </w:p>
        </w:tc>
      </w:tr>
      <w:tr>
        <w:tc>
          <w:tcPr/>
          <w:p>
            <w:pPr>
              <w:pStyle w:val="Compact"/>
              <w:jc w:val="left"/>
            </w:pPr>
            <w:r>
              <w:t xml:space="preserve">9</w:t>
            </w:r>
          </w:p>
        </w:tc>
        <w:tc>
          <w:tcPr/>
          <w:p>
            <w:pPr>
              <w:pStyle w:val="Compact"/>
              <w:jc w:val="left"/>
            </w:pPr>
            <w:r>
              <w:t xml:space="preserve">Composite Resin for Orthodontic Bonding – A2 Shade, 4g syringe</w:t>
            </w:r>
          </w:p>
        </w:tc>
        <w:tc>
          <w:tcPr/>
          <w:p>
            <w:pPr>
              <w:pStyle w:val="Compact"/>
              <w:jc w:val="left"/>
            </w:pPr>
            <w:r>
              <w:t xml:space="preserve">COMP-A2-4G</w:t>
            </w:r>
          </w:p>
        </w:tc>
        <w:tc>
          <w:tcPr/>
          <w:p>
            <w:pPr>
              <w:pStyle w:val="Compact"/>
              <w:jc w:val="left"/>
            </w:pPr>
            <w:r>
              <w:t xml:space="preserve">40</w:t>
            </w:r>
          </w:p>
        </w:tc>
        <w:tc>
          <w:tcPr/>
          <w:p>
            <w:pPr>
              <w:pStyle w:val="Compact"/>
              <w:jc w:val="left"/>
            </w:pPr>
            <w:r>
              <w:t xml:space="preserve">Syringe</w:t>
            </w:r>
          </w:p>
        </w:tc>
        <w:tc>
          <w:tcPr/>
          <w:p>
            <w:pPr>
              <w:pStyle w:val="Compact"/>
              <w:jc w:val="left"/>
            </w:pPr>
            <w:r>
              <w:t xml:space="preserve">890.00</w:t>
            </w:r>
          </w:p>
        </w:tc>
        <w:tc>
          <w:tcPr/>
          <w:p>
            <w:pPr>
              <w:pStyle w:val="Compact"/>
              <w:jc w:val="left"/>
            </w:pPr>
            <w:r>
              <w:t xml:space="preserve">35,600.00</w:t>
            </w:r>
          </w:p>
        </w:tc>
      </w:tr>
      <w:tr>
        <w:tc>
          <w:tcPr/>
          <w:p>
            <w:pPr>
              <w:pStyle w:val="Compact"/>
              <w:jc w:val="left"/>
            </w:pPr>
            <w:r>
              <w:t xml:space="preserve">10</w:t>
            </w:r>
          </w:p>
        </w:tc>
        <w:tc>
          <w:tcPr/>
          <w:p>
            <w:pPr>
              <w:pStyle w:val="Compact"/>
              <w:jc w:val="left"/>
            </w:pPr>
            <w:r>
              <w:t xml:space="preserve">Patient Instruction Booklets – Thai/English Bilingual (500 copies)</w:t>
            </w:r>
          </w:p>
        </w:tc>
        <w:tc>
          <w:tcPr/>
          <w:p>
            <w:pPr>
              <w:pStyle w:val="Compact"/>
              <w:jc w:val="left"/>
            </w:pPr>
            <w:r>
              <w:t xml:space="preserve">PAT-BOOK-TH-EN</w:t>
            </w:r>
          </w:p>
        </w:tc>
        <w:tc>
          <w:tcPr/>
          <w:p>
            <w:pPr>
              <w:pStyle w:val="Compact"/>
              <w:jc w:val="left"/>
            </w:pPr>
            <w:r>
              <w:t xml:space="preserve">5</w:t>
            </w:r>
          </w:p>
        </w:tc>
        <w:tc>
          <w:tcPr/>
          <w:p>
            <w:pPr>
              <w:pStyle w:val="Compact"/>
              <w:jc w:val="left"/>
            </w:pPr>
            <w:r>
              <w:t xml:space="preserve">Bundle</w:t>
            </w:r>
          </w:p>
        </w:tc>
        <w:tc>
          <w:tcPr/>
          <w:p>
            <w:pPr>
              <w:pStyle w:val="Compact"/>
              <w:jc w:val="left"/>
            </w:pPr>
            <w:r>
              <w:t xml:space="preserve">2,100.00</w:t>
            </w:r>
          </w:p>
        </w:tc>
        <w:tc>
          <w:tcPr/>
          <w:p>
            <w:pPr>
              <w:pStyle w:val="Compact"/>
              <w:jc w:val="left"/>
            </w:pPr>
            <w:r>
              <w:t xml:space="preserve">10,500.00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w:t>
            </w:r>
          </w:p>
        </w:tc>
        <w:tc>
          <w:tcPr/>
          <w:p>
            <w:pPr>
              <w:pStyle w:val="Compact"/>
              <w:jc w:val="right"/>
            </w:pPr>
            <w:r>
              <w:t xml:space="preserve">622,050.00 THB</w:t>
            </w:r>
          </w:p>
        </w:tc>
      </w:tr>
      <w:tr>
        <w:tc>
          <w:tcPr>
            <w:gridSpan w:val="5"/>
          </w:tcPr>
          <w:p>
            <w:pPr>
              <w:pStyle w:val="Compact"/>
              <w:jc w:val="right"/>
            </w:pPr>
            <w:r>
              <w:t xml:space="preserve">VAT (7%)</w:t>
            </w:r>
          </w:p>
        </w:tc>
        <w:tc>
          <w:tcPr/>
          <w:p>
            <w:pPr>
              <w:pStyle w:val="Compact"/>
              <w:jc w:val="right"/>
            </w:pPr>
            <w:r>
              <w:t xml:space="preserve">43,543.50 THB</w:t>
            </w:r>
          </w:p>
        </w:tc>
      </w:tr>
      <w:tr>
        <w:tc>
          <w:tcPr>
            <w:gridSpan w:val="5"/>
          </w:tcPr>
          <w:p>
            <w:pPr>
              <w:pStyle w:val="Compact"/>
              <w:jc w:val="right"/>
            </w:pPr>
            <w:r>
              <w:t xml:space="preserve">GRAND TOTAL</w:t>
            </w:r>
          </w:p>
        </w:tc>
        <w:tc>
          <w:tcPr/>
          <w:p>
            <w:pPr>
              <w:pStyle w:val="Compact"/>
              <w:jc w:val="right"/>
            </w:pPr>
            <w:r>
              <w:t xml:space="preserve">665,593.50 THB</w:t>
            </w:r>
          </w:p>
        </w:tc>
      </w:tr>
    </w:tbl>
    <w:p>
      <w:pPr>
        <w:pStyle w:val="BodyText"/>
      </w:pPr>
      <w:r>
        <w:rPr>
          <w:bCs/>
          <w:b/>
        </w:rPr>
        <w:t xml:space="preserve">NOTE:</w:t>
      </w:r>
      <w:r>
        <w:t xml:space="preserve"> </w:t>
      </w:r>
      <w:r>
        <w:t xml:space="preserve">This Purchase Order is issued by SmileCare Orthodontic Center Co., Ltd., a licensed orthodontic practice registered with the Thai Ministry of Public Health. All orthodontic materials listed above must comply with Thai FDA (Food and Drug Administration) regulations and carry valid CE or ISO 13485 certification. The supplier is required to provide certificates of conformity and lot traceability documentation for each shipment delivered to our Bangkok facility.</w:t>
      </w:r>
    </w:p>
    <w:p>
      <w:pPr>
        <w:pStyle w:val="BodyText"/>
      </w:pPr>
      <w:r>
        <w:t xml:space="preserve">TERMS AND CONDITIONS</w:t>
      </w:r>
    </w:p>
    <w:p>
      <w:pPr>
        <w:numPr>
          <w:ilvl w:val="0"/>
          <w:numId w:val="1001"/>
        </w:numPr>
        <w:pStyle w:val="Compact"/>
      </w:pPr>
      <w:r>
        <w:t xml:space="preserve">This Purchase Order constitutes a binding agreement between SmileCare Orthodontic Center Co., Ltd. (hereinafter "Buyer") and OrthoSupply Asia Pacific Co., Ltd. (hereinafter "Supplier") for the supply of orthodontic equipment and consumables as itemized above.</w:t>
      </w:r>
    </w:p>
    <w:p>
      <w:pPr>
        <w:numPr>
          <w:ilvl w:val="0"/>
          <w:numId w:val="1001"/>
        </w:numPr>
        <w:pStyle w:val="Compact"/>
      </w:pPr>
      <w:r>
        <w:t xml:space="preserve">All goods must be delivered to the Buyer's orthodontic clinic located in Thailand Bangkok, specifically at 128 Sukhumvit Road, Soi 21, Khlong Toei Nuea, Watthana, Bangkok 10110. Delivery shall be completed no later than 30 June 2025.</w:t>
      </w:r>
    </w:p>
    <w:p>
      <w:pPr>
        <w:numPr>
          <w:ilvl w:val="0"/>
          <w:numId w:val="1001"/>
        </w:numPr>
        <w:pStyle w:val="Compact"/>
      </w:pPr>
      <w:r>
        <w:t xml:space="preserve">The Supplier warrants that all orthodontic products supplied under this Purchase Order are new, unused, and manufactured in accordance with applicable Thai and international medical device standards. Any product found to be defective, expired, or non-compliant shall be replaced at the Supplier's sole expense within five (5) business days.</w:t>
      </w:r>
    </w:p>
    <w:p>
      <w:pPr>
        <w:numPr>
          <w:ilvl w:val="0"/>
          <w:numId w:val="1001"/>
        </w:numPr>
        <w:pStyle w:val="Compact"/>
      </w:pPr>
      <w:r>
        <w:t xml:space="preserve">Payment shall be made via bank transfer to the Supplier's designated account within thirty (30) calendar days from the date of receipt of a valid Tax Invoice (Fap Ka) issued in accordance with Thai Revenue Department regulations. The Buyer reserves the right to withhold payment for any disputed line items pending resolution.</w:t>
      </w:r>
    </w:p>
    <w:p>
      <w:pPr>
        <w:numPr>
          <w:ilvl w:val="0"/>
          <w:numId w:val="1001"/>
        </w:numPr>
        <w:pStyle w:val="Compact"/>
      </w:pPr>
      <w:r>
        <w:t xml:space="preserve">The Supplier shall bear all risks of loss or damage to the orthodontic goods until they are received and inspected at the Buyer's Bangkok premises. Title shall pass upon full payment.</w:t>
      </w:r>
    </w:p>
    <w:p>
      <w:pPr>
        <w:numPr>
          <w:ilvl w:val="0"/>
          <w:numId w:val="1001"/>
        </w:numPr>
        <w:pStyle w:val="Compact"/>
      </w:pPr>
      <w:r>
        <w:t xml:space="preserve">Partial shipments are not permitted unless expressly authorized in writing by the Buyer's procurement department. All items under this Purchase Order must arrive in a single consolidated delivery to minimize disruption to the orthodontist's clinical schedule.</w:t>
      </w:r>
    </w:p>
    <w:p>
      <w:pPr>
        <w:numPr>
          <w:ilvl w:val="0"/>
          <w:numId w:val="1001"/>
        </w:numPr>
        <w:pStyle w:val="Compact"/>
      </w:pPr>
      <w:r>
        <w:t xml:space="preserve">Any changes, amendments, or cancellations to this Purchase Order must be made in writing and signed by authorized representatives of both parties. Verbal modifications shall not be enforceable.</w:t>
      </w:r>
    </w:p>
    <w:p>
      <w:pPr>
        <w:numPr>
          <w:ilvl w:val="0"/>
          <w:numId w:val="1001"/>
        </w:numPr>
        <w:pStyle w:val="Compact"/>
      </w:pPr>
      <w:r>
        <w:t xml:space="preserve">This Purchase Order shall be governed by and construed in accordance with the laws of the Kingdom of Thailand. Any disputes arising herefrom shall be subject to the exclusive jurisdiction of the competent courts in Bangkok, Thailand.</w:t>
      </w:r>
    </w:p>
    <w:p>
      <w:pPr>
        <w:numPr>
          <w:ilvl w:val="0"/>
          <w:numId w:val="1001"/>
        </w:numPr>
        <w:pStyle w:val="Compact"/>
      </w:pPr>
      <w:r>
        <w:t xml:space="preserve">The Supplier acknowledges that the orthodontic materials procured under this order will be used in direct patient care by a licensed orthodontist and therefore must meet the highest standards of biocompatibility, sterility, and quality assurance.</w:t>
      </w:r>
    </w:p>
    <w:p>
      <w:pPr>
        <w:pStyle w:val="FirstParagraph"/>
      </w:pPr>
      <w:r>
        <w:t xml:space="preserve">AUTHORIZATION AND SIGNATURES</w:t>
      </w:r>
    </w:p>
    <w:p>
      <w:pPr>
        <w:pStyle w:val="BodyText"/>
      </w:pPr>
      <w:r>
        <w:rPr>
          <w:bCs/>
          <w:b/>
        </w:rPr>
        <w:t xml:space="preserve">For and on behalf of the Buyer:</w:t>
      </w:r>
      <w:r>
        <w:br/>
      </w:r>
      <w:r>
        <w:br/>
      </w:r>
      <w:r>
        <w:t xml:space="preserve">______________________________</w:t>
      </w:r>
      <w:r>
        <w:br/>
      </w:r>
      <w:r>
        <w:t xml:space="preserve">Dr. Ananya Rattanakul</w:t>
      </w:r>
      <w:r>
        <w:br/>
      </w:r>
      <w:r>
        <w:t xml:space="preserve">Lead Orthodontist / Authorized Signatory</w:t>
      </w:r>
      <w:r>
        <w:br/>
      </w:r>
      <w:r>
        <w:t xml:space="preserve">SmileCare Orthodontic Center Co., Ltd.</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Mr. Somchai Prasert</w:t>
      </w:r>
      <w:r>
        <w:br/>
      </w:r>
      <w:r>
        <w:t xml:space="preserve">Procurement Manager</w:t>
      </w:r>
      <w:r>
        <w:br/>
      </w:r>
      <w:r>
        <w:t xml:space="preserve">OrthoSupply Asia Pacific Co., Ltd.</w:t>
      </w:r>
      <w:r>
        <w:br/>
      </w:r>
      <w:r>
        <w:t xml:space="preserve">Date: _______________</w:t>
      </w:r>
    </w:p>
    <w:p>
      <w:pPr>
        <w:pStyle w:val="BodyText"/>
      </w:pPr>
      <w:r>
        <w:rPr>
          <w:bCs/>
          <w:b/>
        </w:rPr>
        <w:t xml:space="preserve">SmileCare Orthodontic Center Co., Ltd.</w:t>
      </w:r>
      <w:r>
        <w:t xml:space="preserve"> </w:t>
      </w:r>
      <w:r>
        <w:t xml:space="preserve">– A registered orthodontic practice in Thailand Bangkok providing comprehensive orthodontic care including fixed appliances, clear aligner therapy, and orthognathic consultation. This Purchase Order document is confidential and intended solely for the named parties. Unauthorized reproduction or distribution is prohibited.</w:t>
      </w:r>
    </w:p>
    <w:p>
      <w:pPr>
        <w:pStyle w:val="BodyText"/>
      </w:pPr>
      <w:r>
        <w:t xml:space="preserve">Document Reference: PO-THB-2025-0417 | Page 1 of 1 | Generated: 15 June 2025</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Thailand Bangkok</dc:title>
  <dc:creator/>
  <dc:language>en</dc:language>
  <cp:keywords/>
  <dcterms:created xsi:type="dcterms:W3CDTF">2026-10-10T03:16:27Z</dcterms:created>
  <dcterms:modified xsi:type="dcterms:W3CDTF">2026-10-10T03:16:27Z</dcterms:modified>
</cp:coreProperties>
</file>

<file path=docProps/custom.xml><?xml version="1.0" encoding="utf-8"?>
<Properties xmlns="http://schemas.openxmlformats.org/officeDocument/2006/custom-properties" xmlns:vt="http://schemas.openxmlformats.org/officeDocument/2006/docPropsVTypes"/>
</file>