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Al Noor Orthodontic Center LLC</w:t>
      </w:r>
    </w:p>
    <w:p>
      <w:pPr>
        <w:pStyle w:val="BodyText"/>
      </w:pPr>
      <w:r>
        <w:t xml:space="preserve">Building 14, Al Barsha 1, Dubai, United Arab Emirates</w:t>
      </w:r>
    </w:p>
    <w:p>
      <w:pPr>
        <w:pStyle w:val="BodyText"/>
      </w:pPr>
      <w:r>
        <w:t xml:space="preserve">TRN: 100234567800003 | License No: DED-2019-45872</w:t>
      </w:r>
    </w:p>
    <w:p>
      <w:pPr>
        <w:pStyle w:val="BodyText"/>
      </w:pPr>
      <w:r>
        <w:t xml:space="preserve">Tel: +971 4 330 8821 | Email: procurement@alnoorortho.ae</w:t>
      </w:r>
    </w:p>
    <w:p>
      <w:pPr>
        <w:pStyle w:val="BodyText"/>
      </w:pPr>
      <w:r>
        <w:t xml:space="preserve">PO No: ANO-2025-00472</w:t>
      </w:r>
    </w:p>
    <w:bookmarkEnd w:id="20"/>
    <w:p>
      <w:pPr>
        <w:pStyle w:val="BodyText"/>
      </w:pPr>
      <w:r>
        <w:rPr>
          <w:bCs/>
          <w:b/>
        </w:rPr>
        <w:t xml:space="preserve">Date of Issue:</w:t>
      </w:r>
      <w:r>
        <w:t xml:space="preserve"> </w:t>
      </w:r>
      <w:r>
        <w:t xml:space="preserve">15 June 2025</w:t>
      </w:r>
      <w:r>
        <w:br/>
      </w:r>
      <w:r>
        <w:rPr>
          <w:bCs/>
          <w:b/>
        </w:rPr>
        <w:t xml:space="preserve">Required Delivery Date:</w:t>
      </w:r>
      <w:r>
        <w:t xml:space="preserve"> </w:t>
      </w:r>
      <w:r>
        <w:t xml:space="preserve">30 June 2025</w:t>
      </w:r>
      <w:r>
        <w:br/>
      </w:r>
      <w:r>
        <w:rPr>
          <w:bCs/>
          <w:b/>
        </w:rPr>
        <w:t xml:space="preserve">Delivery Location:</w:t>
      </w:r>
      <w:r>
        <w:t xml:space="preserve"> </w:t>
      </w:r>
      <w:r>
        <w:t xml:space="preserve">Al Noor Orthodontic Center, Dubai, UAE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UAE Dirham (AED)</w:t>
      </w:r>
      <w:r>
        <w:br/>
      </w:r>
      <w:r>
        <w:rPr>
          <w:bCs/>
          <w:b/>
        </w:rPr>
        <w:t xml:space="preserve">Incoterms:</w:t>
      </w:r>
      <w:r>
        <w:t xml:space="preserve"> </w:t>
      </w:r>
      <w:r>
        <w:t xml:space="preserve">DDP Dubai, UAE</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DentalPro International Supply FZE</w:t>
            </w:r>
          </w:p>
        </w:tc>
      </w:tr>
      <w:tr>
        <w:tc>
          <w:tcPr/>
          <w:p>
            <w:pPr>
              <w:pStyle w:val="Compact"/>
              <w:jc w:val="left"/>
            </w:pPr>
            <w:r>
              <w:rPr>
                <w:bCs/>
                <w:b/>
              </w:rPr>
              <w:t xml:space="preserve">Address:</w:t>
            </w:r>
          </w:p>
        </w:tc>
        <w:tc>
          <w:tcPr/>
          <w:p>
            <w:pPr>
              <w:pStyle w:val="Compact"/>
              <w:jc w:val="left"/>
            </w:pPr>
            <w:r>
              <w:t xml:space="preserve">Unit 7, Jebel Ali Free Zone, Dubai, United Arab Emirates</w:t>
            </w:r>
          </w:p>
        </w:tc>
      </w:tr>
      <w:tr>
        <w:tc>
          <w:tcPr/>
          <w:p>
            <w:pPr>
              <w:pStyle w:val="Compact"/>
              <w:jc w:val="left"/>
            </w:pPr>
            <w:r>
              <w:rPr>
                <w:bCs/>
                <w:b/>
              </w:rPr>
              <w:t xml:space="preserve">Contact Person:</w:t>
            </w:r>
          </w:p>
        </w:tc>
        <w:tc>
          <w:tcPr/>
          <w:p>
            <w:pPr>
              <w:pStyle w:val="Compact"/>
              <w:jc w:val="left"/>
            </w:pPr>
            <w:r>
              <w:t xml:space="preserve">Mr. Khalid Al Mansoori – Sales Director</w:t>
            </w:r>
          </w:p>
        </w:tc>
      </w:tr>
      <w:tr>
        <w:tc>
          <w:tcPr/>
          <w:p>
            <w:pPr>
              <w:pStyle w:val="Compact"/>
              <w:jc w:val="left"/>
            </w:pPr>
            <w:r>
              <w:rPr>
                <w:bCs/>
                <w:b/>
              </w:rPr>
              <w:t xml:space="preserve">Tax Registration No.:</w:t>
            </w:r>
          </w:p>
        </w:tc>
        <w:tc>
          <w:tcPr/>
          <w:p>
            <w:pPr>
              <w:pStyle w:val="Compact"/>
              <w:jc w:val="left"/>
            </w:pPr>
            <w:r>
              <w:t xml:space="preserve">100987654300003</w:t>
            </w:r>
          </w:p>
        </w:tc>
      </w:tr>
      <w:tr>
        <w:tc>
          <w:tcPr/>
          <w:p>
            <w:pPr>
              <w:pStyle w:val="Compact"/>
              <w:jc w:val="left"/>
            </w:pPr>
            <w:r>
              <w:rPr>
                <w:bCs/>
                <w:b/>
              </w:rPr>
              <w:t xml:space="preserve">Bank Details:</w:t>
            </w:r>
          </w:p>
        </w:tc>
        <w:tc>
          <w:tcPr/>
          <w:p>
            <w:pPr>
              <w:pStyle w:val="Compact"/>
              <w:jc w:val="left"/>
            </w:pPr>
            <w:r>
              <w:t xml:space="preserve">Emirates NBD | IBAN: AE0702400000000000000001 | SWIFT: EMIRAEAD</w:t>
            </w:r>
          </w:p>
        </w:tc>
      </w:tr>
    </w:tbl>
    <w:p>
      <w:pPr>
        <w:pStyle w:val="BodyText"/>
      </w:pPr>
      <w:r>
        <w:t xml:space="preserve">PURCHASE ORDER LINE ITEMS – ORTHODONTIC EQUIPMENT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Self-Ligating Orthodontic Brackets – Roth 0.22" (Full Set, 32 pcs per kit)</w:t>
            </w:r>
          </w:p>
        </w:tc>
        <w:tc>
          <w:tcPr/>
          <w:p>
            <w:pPr>
              <w:pStyle w:val="Compact"/>
              <w:jc w:val="left"/>
            </w:pPr>
            <w:r>
              <w:t xml:space="preserve">25</w:t>
            </w:r>
          </w:p>
        </w:tc>
        <w:tc>
          <w:tcPr/>
          <w:p>
            <w:pPr>
              <w:pStyle w:val="Compact"/>
              <w:jc w:val="left"/>
            </w:pPr>
            <w:r>
              <w:t xml:space="preserve">Kit</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2</w:t>
            </w:r>
          </w:p>
        </w:tc>
        <w:tc>
          <w:tcPr/>
          <w:p>
            <w:pPr>
              <w:pStyle w:val="Compact"/>
              <w:jc w:val="left"/>
            </w:pPr>
            <w:r>
              <w:t xml:space="preserve">NiTi Arch Wires – 0.014" to 0.022" (Assorted Pack, 100 wires)</w:t>
            </w:r>
          </w:p>
        </w:tc>
        <w:tc>
          <w:tcPr/>
          <w:p>
            <w:pPr>
              <w:pStyle w:val="Compact"/>
              <w:jc w:val="left"/>
            </w:pPr>
            <w:r>
              <w:t xml:space="preserve">40</w:t>
            </w:r>
          </w:p>
        </w:tc>
        <w:tc>
          <w:tcPr/>
          <w:p>
            <w:pPr>
              <w:pStyle w:val="Compact"/>
              <w:jc w:val="left"/>
            </w:pPr>
            <w:r>
              <w:t xml:space="preserve">Pack</w:t>
            </w:r>
          </w:p>
        </w:tc>
        <w:tc>
          <w:tcPr/>
          <w:p>
            <w:pPr>
              <w:pStyle w:val="Compact"/>
              <w:jc w:val="left"/>
            </w:pPr>
            <w:r>
              <w:t xml:space="preserve">620.00</w:t>
            </w:r>
          </w:p>
        </w:tc>
        <w:tc>
          <w:tcPr/>
          <w:p>
            <w:pPr>
              <w:pStyle w:val="Compact"/>
              <w:jc w:val="left"/>
            </w:pPr>
            <w:r>
              <w:t xml:space="preserve">24,800.00</w:t>
            </w:r>
          </w:p>
        </w:tc>
      </w:tr>
      <w:tr>
        <w:tc>
          <w:tcPr/>
          <w:p>
            <w:pPr>
              <w:pStyle w:val="Compact"/>
              <w:jc w:val="left"/>
            </w:pPr>
            <w:r>
              <w:t xml:space="preserve">3</w:t>
            </w:r>
          </w:p>
        </w:tc>
        <w:tc>
          <w:tcPr/>
          <w:p>
            <w:pPr>
              <w:pStyle w:val="Compact"/>
              <w:jc w:val="left"/>
            </w:pPr>
            <w:r>
              <w:t xml:space="preserve">Ceramic Orthodontic Brackets – Aesthetic Series (32 pcs per kit)</w:t>
            </w:r>
          </w:p>
        </w:tc>
        <w:tc>
          <w:tcPr/>
          <w:p>
            <w:pPr>
              <w:pStyle w:val="Compact"/>
              <w:jc w:val="left"/>
            </w:pPr>
            <w:r>
              <w:t xml:space="preserve">15</w:t>
            </w:r>
          </w:p>
        </w:tc>
        <w:tc>
          <w:tcPr/>
          <w:p>
            <w:pPr>
              <w:pStyle w:val="Compact"/>
              <w:jc w:val="left"/>
            </w:pPr>
            <w:r>
              <w:t xml:space="preserve">Kit</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Orthodontic Elastomeric Ligatures – Assorted Colors (5,000 pcs per box)</w:t>
            </w:r>
          </w:p>
        </w:tc>
        <w:tc>
          <w:tcPr/>
          <w:p>
            <w:pPr>
              <w:pStyle w:val="Compact"/>
              <w:jc w:val="left"/>
            </w:pPr>
            <w:r>
              <w:t xml:space="preserve">30</w:t>
            </w:r>
          </w:p>
        </w:tc>
        <w:tc>
          <w:tcPr/>
          <w:p>
            <w:pPr>
              <w:pStyle w:val="Compact"/>
              <w:jc w:val="left"/>
            </w:pPr>
            <w:r>
              <w:t xml:space="preserve">Box</w:t>
            </w:r>
          </w:p>
        </w:tc>
        <w:tc>
          <w:tcPr/>
          <w:p>
            <w:pPr>
              <w:pStyle w:val="Compact"/>
              <w:jc w:val="left"/>
            </w:pPr>
            <w:r>
              <w:t xml:space="preserve">380.00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Clear Aligner Trays – Custom Milled (Per Patient Set, 20 trays)</w:t>
            </w:r>
          </w:p>
        </w:tc>
        <w:tc>
          <w:tcPr/>
          <w:p>
            <w:pPr>
              <w:pStyle w:val="Compact"/>
              <w:jc w:val="left"/>
            </w:pPr>
            <w:r>
              <w:t xml:space="preserve">50</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6</w:t>
            </w:r>
          </w:p>
        </w:tc>
        <w:tc>
          <w:tcPr/>
          <w:p>
            <w:pPr>
              <w:pStyle w:val="Compact"/>
              <w:jc w:val="left"/>
            </w:pPr>
            <w:r>
              <w:t xml:space="preserve">Orthodontic Bonding Agent &amp; Etchant Kit (500 ml each)</w:t>
            </w:r>
          </w:p>
        </w:tc>
        <w:tc>
          <w:tcPr/>
          <w:p>
            <w:pPr>
              <w:pStyle w:val="Compact"/>
              <w:jc w:val="left"/>
            </w:pPr>
            <w:r>
              <w:t xml:space="preserve">20</w:t>
            </w:r>
          </w:p>
        </w:tc>
        <w:tc>
          <w:tcPr/>
          <w:p>
            <w:pPr>
              <w:pStyle w:val="Compact"/>
              <w:jc w:val="left"/>
            </w:pPr>
            <w:r>
              <w:t xml:space="preserve">Kit</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Interproximal Reduction (IPR) Strips – Assorted Grit (1,000 strips)</w:t>
            </w:r>
          </w:p>
        </w:tc>
        <w:tc>
          <w:tcPr/>
          <w:p>
            <w:pPr>
              <w:pStyle w:val="Compact"/>
              <w:jc w:val="left"/>
            </w:pPr>
            <w:r>
              <w:t xml:space="preserve">10</w:t>
            </w:r>
          </w:p>
        </w:tc>
        <w:tc>
          <w:tcPr/>
          <w:p>
            <w:pPr>
              <w:pStyle w:val="Compact"/>
              <w:jc w:val="left"/>
            </w:pPr>
            <w:r>
              <w:t xml:space="preserve">Box</w:t>
            </w:r>
          </w:p>
        </w:tc>
        <w:tc>
          <w:tcPr/>
          <w:p>
            <w:pPr>
              <w:pStyle w:val="Compact"/>
              <w:jc w:val="left"/>
            </w:pPr>
            <w:r>
              <w:t xml:space="preserve">290.00</w:t>
            </w:r>
          </w:p>
        </w:tc>
        <w:tc>
          <w:tcPr/>
          <w:p>
            <w:pPr>
              <w:pStyle w:val="Compact"/>
              <w:jc w:val="left"/>
            </w:pPr>
            <w:r>
              <w:t xml:space="preserve">2,900.00</w:t>
            </w:r>
          </w:p>
        </w:tc>
      </w:tr>
      <w:tr>
        <w:tc>
          <w:tcPr/>
          <w:p>
            <w:pPr>
              <w:pStyle w:val="Compact"/>
              <w:jc w:val="left"/>
            </w:pPr>
            <w:r>
              <w:t xml:space="preserve">8</w:t>
            </w:r>
          </w:p>
        </w:tc>
        <w:tc>
          <w:tcPr/>
          <w:p>
            <w:pPr>
              <w:pStyle w:val="Compact"/>
              <w:jc w:val="left"/>
            </w:pPr>
            <w:r>
              <w:t xml:space="preserve">Orthodontic Headgear &amp; Facebow Components (Complete Set)</w:t>
            </w:r>
          </w:p>
        </w:tc>
        <w:tc>
          <w:tcPr/>
          <w:p>
            <w:pPr>
              <w:pStyle w:val="Compact"/>
              <w:jc w:val="left"/>
            </w:pPr>
            <w:r>
              <w:t xml:space="preserve">8</w:t>
            </w:r>
          </w:p>
        </w:tc>
        <w:tc>
          <w:tcPr/>
          <w:p>
            <w:pPr>
              <w:pStyle w:val="Compact"/>
              <w:jc w:val="left"/>
            </w:pPr>
            <w:r>
              <w:t xml:space="preserve">Set</w:t>
            </w:r>
          </w:p>
        </w:tc>
        <w:tc>
          <w:tcPr/>
          <w:p>
            <w:pPr>
              <w:pStyle w:val="Compact"/>
              <w:jc w:val="left"/>
            </w:pPr>
            <w:r>
              <w:t xml:space="preserve">1,150.00</w:t>
            </w:r>
          </w:p>
        </w:tc>
        <w:tc>
          <w:tcPr/>
          <w:p>
            <w:pPr>
              <w:pStyle w:val="Compact"/>
              <w:jc w:val="left"/>
            </w:pPr>
            <w:r>
              <w:t xml:space="preserve">9,200.00</w:t>
            </w:r>
          </w:p>
        </w:tc>
      </w:tr>
      <w:tr>
        <w:tc>
          <w:tcPr/>
          <w:p>
            <w:pPr>
              <w:pStyle w:val="Compact"/>
              <w:jc w:val="left"/>
            </w:pPr>
            <w:r>
              <w:t xml:space="preserve">9</w:t>
            </w:r>
          </w:p>
        </w:tc>
        <w:tc>
          <w:tcPr/>
          <w:p>
            <w:pPr>
              <w:pStyle w:val="Compact"/>
              <w:jc w:val="left"/>
            </w:pPr>
            <w:r>
              <w:t xml:space="preserve">Digital Intraoral Scanner – 3Shape TRIOS 5 (with software license)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10</w:t>
            </w:r>
          </w:p>
        </w:tc>
        <w:tc>
          <w:tcPr/>
          <w:p>
            <w:pPr>
              <w:pStyle w:val="Compact"/>
              <w:jc w:val="left"/>
            </w:pPr>
            <w:r>
              <w:t xml:space="preserve">Orthodontic Wax &amp; Patient Comfort Kit (500 units)</w:t>
            </w:r>
          </w:p>
        </w:tc>
        <w:tc>
          <w:tcPr/>
          <w:p>
            <w:pPr>
              <w:pStyle w:val="Compact"/>
              <w:jc w:val="left"/>
            </w:pPr>
            <w:r>
              <w:t xml:space="preserve">12</w:t>
            </w:r>
          </w:p>
        </w:tc>
        <w:tc>
          <w:tcPr/>
          <w:p>
            <w:pPr>
              <w:pStyle w:val="Compact"/>
              <w:jc w:val="left"/>
            </w:pPr>
            <w:r>
              <w:t xml:space="preserve">Box</w:t>
            </w:r>
          </w:p>
        </w:tc>
        <w:tc>
          <w:tcPr/>
          <w:p>
            <w:pPr>
              <w:pStyle w:val="Compact"/>
              <w:jc w:val="left"/>
            </w:pPr>
            <w:r>
              <w:t xml:space="preserve">185.00</w:t>
            </w:r>
          </w:p>
        </w:tc>
        <w:tc>
          <w:tcPr/>
          <w:p>
            <w:pPr>
              <w:pStyle w:val="Compact"/>
              <w:jc w:val="left"/>
            </w:pPr>
            <w:r>
              <w:t xml:space="preserve">2,220.00</w:t>
            </w:r>
          </w:p>
        </w:tc>
      </w:tr>
      <w:tr>
        <w:tc>
          <w:tcPr>
            <w:gridSpan w:val="5"/>
          </w:tcPr>
          <w:p>
            <w:pPr>
              <w:pStyle w:val="Compact"/>
              <w:jc w:val="right"/>
            </w:pPr>
            <w:r>
              <w:t xml:space="preserve">Subtotal:</w:t>
            </w:r>
          </w:p>
        </w:tc>
        <w:tc>
          <w:tcPr/>
          <w:p>
            <w:pPr>
              <w:pStyle w:val="Compact"/>
              <w:jc w:val="left"/>
            </w:pPr>
            <w:r>
              <w:t xml:space="preserve">486,770.00</w:t>
            </w:r>
          </w:p>
        </w:tc>
      </w:tr>
      <w:tr>
        <w:tc>
          <w:tcPr>
            <w:gridSpan w:val="5"/>
          </w:tcPr>
          <w:p>
            <w:pPr>
              <w:pStyle w:val="Compact"/>
              <w:jc w:val="right"/>
            </w:pPr>
            <w:r>
              <w:t xml:space="preserve">VAT (5% – UAE Standard Rate):</w:t>
            </w:r>
          </w:p>
        </w:tc>
        <w:tc>
          <w:tcPr/>
          <w:p>
            <w:pPr>
              <w:pStyle w:val="Compact"/>
              <w:jc w:val="left"/>
            </w:pPr>
            <w:r>
              <w:t xml:space="preserve">24,338.50</w:t>
            </w:r>
          </w:p>
        </w:tc>
      </w:tr>
      <w:tr>
        <w:tc>
          <w:tcPr>
            <w:gridSpan w:val="5"/>
          </w:tcPr>
          <w:p>
            <w:pPr>
              <w:pStyle w:val="Compact"/>
              <w:jc w:val="right"/>
            </w:pPr>
            <w:r>
              <w:rPr>
                <w:bCs/>
                <w:b/>
              </w:rPr>
              <w:t xml:space="preserve">GRAND TOTAL (AED):</w:t>
            </w:r>
          </w:p>
        </w:tc>
        <w:tc>
          <w:tcPr/>
          <w:p>
            <w:pPr>
              <w:pStyle w:val="Compact"/>
              <w:jc w:val="left"/>
            </w:pPr>
            <w:r>
              <w:rPr>
                <w:bCs/>
                <w:b/>
              </w:rPr>
              <w:t xml:space="preserve">511,108.50</w:t>
            </w: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is issued by Al Noor Orthodontic Center LLC, a licensed Orthodontist practice operating in the United Arab Emirates Dubai, for the procurement of orthodontic equipment, consumables, and digital imaging technology as itemized above. All goods must comply with the regulatory standards set forth by the Dubai Health Authority (DHA) and the Ministry of Health and Prevention (MOHAP) of the United Arab Emirates.</w:t>
      </w:r>
    </w:p>
    <w:p>
      <w:pPr>
        <w:numPr>
          <w:ilvl w:val="0"/>
          <w:numId w:val="1001"/>
        </w:numPr>
        <w:pStyle w:val="Compact"/>
      </w:pPr>
      <w:r>
        <w:rPr>
          <w:bCs/>
          <w:b/>
        </w:rPr>
        <w:t xml:space="preserve">Delivery:</w:t>
      </w:r>
      <w:r>
        <w:t xml:space="preserve"> </w:t>
      </w:r>
      <w:r>
        <w:t xml:space="preserve">The supplier shall deliver all items to the Orthodontist's clinic premises located in Al Barsha 1, Dubai, United Arab Emirates, no later than 30 June 2025. Delivery shall be made DDP (Delivered Duty Paid) to the specified address. The supplier is responsible for all customs clearance, import duties, and logistics within the United Arab Emirates Dubai jurisdiction.</w:t>
      </w:r>
    </w:p>
    <w:p>
      <w:pPr>
        <w:numPr>
          <w:ilvl w:val="0"/>
          <w:numId w:val="1001"/>
        </w:numPr>
        <w:pStyle w:val="Compact"/>
      </w:pPr>
      <w:r>
        <w:rPr>
          <w:bCs/>
          <w:b/>
        </w:rPr>
        <w:t xml:space="preserve">Quality Assurance:</w:t>
      </w:r>
      <w:r>
        <w:t xml:space="preserve"> </w:t>
      </w:r>
      <w:r>
        <w:t xml:space="preserve">All orthodontic materials and equipment must be CE-marked or FDA-approved and must carry valid DHA registration where applicable. The Orthodontist reserves the right to reject any items that do not meet the specified clinical standards or that arrive damaged, expired, or non-conforming to the Purchase Order specifications.</w:t>
      </w:r>
    </w:p>
    <w:p>
      <w:pPr>
        <w:numPr>
          <w:ilvl w:val="0"/>
          <w:numId w:val="1001"/>
        </w:numPr>
        <w:pStyle w:val="Compact"/>
      </w:pPr>
      <w:r>
        <w:rPr>
          <w:bCs/>
          <w:b/>
        </w:rPr>
        <w:t xml:space="preserve">Payment:</w:t>
      </w:r>
      <w:r>
        <w:t xml:space="preserve"> </w:t>
      </w:r>
      <w:r>
        <w:t xml:space="preserve">Payment of the full amount of AED 511,108.50 (Five Hundred Eleven Thousand One Hundred and Eight Dirhams and Fifty Fils) shall be made within thirty (30) calendar days from the date of confirmed receipt and acceptance of all goods. Payment shall be processed via bank transfer to the supplier's designated account in the United Arab Emirates Dubai.</w:t>
      </w:r>
    </w:p>
    <w:p>
      <w:pPr>
        <w:numPr>
          <w:ilvl w:val="0"/>
          <w:numId w:val="1001"/>
        </w:numPr>
        <w:pStyle w:val="Compact"/>
      </w:pPr>
      <w:r>
        <w:rPr>
          <w:bCs/>
          <w:b/>
        </w:rPr>
        <w:t xml:space="preserve">Warranty:</w:t>
      </w:r>
      <w:r>
        <w:t xml:space="preserve"> </w:t>
      </w:r>
      <w:r>
        <w:t xml:space="preserve">The digital intraoral scanner (Item #9) carries a minimum two-year manufacturer's warranty with on-site service in Dubai. All consumable orthodontic products must have a minimum shelf life of eighteen (18) months from the date of delivery. The Orthodontist practice shall notify the supplier in writing within fourteen (14) days of any warranty claim.</w:t>
      </w:r>
    </w:p>
    <w:p>
      <w:pPr>
        <w:numPr>
          <w:ilvl w:val="0"/>
          <w:numId w:val="1001"/>
        </w:numPr>
        <w:pStyle w:val="Compact"/>
      </w:pPr>
      <w:r>
        <w:rPr>
          <w:bCs/>
          <w:b/>
        </w:rPr>
        <w:t xml:space="preserve">Regulatory Compliance:</w:t>
      </w:r>
      <w:r>
        <w:t xml:space="preserve"> </w:t>
      </w:r>
      <w:r>
        <w:t xml:space="preserve">The supplier warrants that all products listed in this Purchase Order are legally importable and sellable within the United Arab Emirates Dubai. The supplier shall provide all necessary certificates of origin, free sale certificates, and DHA product registration documents prior to delivery. Failure to provide such documentation shall constitute a material breach of this Purchase Order.</w:t>
      </w:r>
    </w:p>
    <w:p>
      <w:pPr>
        <w:numPr>
          <w:ilvl w:val="0"/>
          <w:numId w:val="1001"/>
        </w:numPr>
        <w:pStyle w:val="Compact"/>
      </w:pPr>
      <w:r>
        <w:rPr>
          <w:bCs/>
          <w:b/>
        </w:rPr>
        <w:t xml:space="preserve">Intellectual Property:</w:t>
      </w:r>
      <w:r>
        <w:t xml:space="preserve"> </w:t>
      </w:r>
      <w:r>
        <w:t xml:space="preserve">All software licenses associated with the digital scanner are non-transferable and are licensed exclusively to Al Noor Orthodontic Center LLC for use within its Dubai premises. Any unauthorized duplication or transfer shall void the warranty and constitute a breach of this Purchase Order.</w:t>
      </w:r>
    </w:p>
    <w:p>
      <w:pPr>
        <w:numPr>
          <w:ilvl w:val="0"/>
          <w:numId w:val="1001"/>
        </w:numPr>
        <w:pStyle w:val="Compact"/>
      </w:pPr>
      <w:r>
        <w:rPr>
          <w:bCs/>
          <w:b/>
        </w:rPr>
        <w:t xml:space="preserve">Dispute Resolution:</w:t>
      </w:r>
      <w:r>
        <w:t xml:space="preserve"> </w:t>
      </w:r>
      <w:r>
        <w:t xml:space="preserve">Any disputes arising from this Purchase Order shall be governed by the laws of the United Arab Emirates Dubai. Matters shall first be subject to good-faith negotiation between the parties. If unresolved within thirty (30) days, disputes shall be referred to the Dubai Courts or, at the buyer's discretion, to the Dubai International Financial Centre (DIFC) Courts for arbitration.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 sanctions, port closures in the United Arab Emirates Dubai, or acts of God. Affected parties must notify the other in writing within five (5) business days.</w:t>
      </w:r>
    </w:p>
    <w:p>
      <w:pPr>
        <w:numPr>
          <w:ilvl w:val="0"/>
          <w:numId w:val="1001"/>
        </w:numPr>
        <w:pStyle w:val="Compact"/>
      </w:pPr>
      <w:r>
        <w:rPr>
          <w:bCs/>
          <w:b/>
        </w:rPr>
        <w:t xml:space="preserve">Validity:</w:t>
      </w:r>
      <w:r>
        <w:t xml:space="preserve"> </w:t>
      </w:r>
      <w:r>
        <w:t xml:space="preserve">This Purchase Order is valid for acceptance within fourteen (14) days from the date of issue. The supplier's written acceptance, signed and returned to the Orthodontist's procurement department, shall constitute a binding agreement between both parties.</w:t>
      </w:r>
    </w:p>
    <w:p>
      <w:pPr>
        <w:pStyle w:val="FirstParagraph"/>
      </w:pPr>
      <w:r>
        <w:rPr>
          <w:bCs/>
          <w:b/>
        </w:rPr>
        <w:t xml:space="preserve">Authorized by (Buyer):</w:t>
      </w:r>
    </w:p>
    <w:p>
      <w:pPr>
        <w:pStyle w:val="BodyText"/>
      </w:pPr>
      <w:r>
        <w:t xml:space="preserve">Dr. Fatima Al Rashidi, DDS, MSc</w:t>
      </w:r>
    </w:p>
    <w:p>
      <w:pPr>
        <w:pStyle w:val="BodyText"/>
      </w:pPr>
      <w:r>
        <w:t xml:space="preserve">Lead Orthodontist &amp; Managing Partner</w:t>
      </w:r>
    </w:p>
    <w:p>
      <w:pPr>
        <w:pStyle w:val="BodyText"/>
      </w:pPr>
      <w:r>
        <w:t xml:space="preserve">Al Noor Orthodontic Center LLC</w:t>
      </w:r>
    </w:p>
    <w:p>
      <w:pPr>
        <w:pStyle w:val="BodyText"/>
      </w:pPr>
      <w:r>
        <w:t xml:space="preserve">Signature &amp; Date</w:t>
      </w:r>
    </w:p>
    <w:p>
      <w:pPr>
        <w:pStyle w:val="BodyText"/>
      </w:pPr>
      <w:r>
        <w:rPr>
          <w:bCs/>
          <w:b/>
        </w:rPr>
        <w:t xml:space="preserve">Accepted by (Supplier):</w:t>
      </w:r>
    </w:p>
    <w:p>
      <w:pPr>
        <w:pStyle w:val="BodyText"/>
      </w:pPr>
      <w:r>
        <w:t xml:space="preserve">Mr. Khalid Al Mansoori</w:t>
      </w:r>
    </w:p>
    <w:p>
      <w:pPr>
        <w:pStyle w:val="BodyText"/>
      </w:pPr>
      <w:r>
        <w:t xml:space="preserve">Sales Director</w:t>
      </w:r>
    </w:p>
    <w:p>
      <w:pPr>
        <w:pStyle w:val="BodyText"/>
      </w:pPr>
      <w:r>
        <w:t xml:space="preserve">DentalPro International Supply FZE</w:t>
      </w:r>
    </w:p>
    <w:p>
      <w:pPr>
        <w:pStyle w:val="BodyText"/>
      </w:pPr>
      <w:r>
        <w:t xml:space="preserve">Signature &amp; Date</w:t>
      </w:r>
    </w:p>
    <w:p>
      <w:pPr>
        <w:pStyle w:val="BodyText"/>
      </w:pPr>
      <w:r>
        <w:t xml:space="preserve">This Purchase Order document is the property of Al Noor Orthodontic Center LLC, Dubai, United Arab Emirates. Unauthorized reproduction or distribution is prohibited. PO Ref: ANO-2025-00472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United Arab Emirates Dubai</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