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rPr>
          <w:bCs/>
          <w:b/>
        </w:rPr>
        <w:t xml:space="preserve">Tashkent Orthodontic Center LLP</w:t>
      </w:r>
    </w:p>
    <w:p>
      <w:pPr>
        <w:pStyle w:val="BodyText"/>
      </w:pPr>
      <w:r>
        <w:t xml:space="preserve">142 Amir Temur Avenue, Tashkent, 100084, Uzbekistan</w:t>
      </w:r>
    </w:p>
    <w:p>
      <w:pPr>
        <w:pStyle w:val="BodyText"/>
      </w:pPr>
      <w:r>
        <w:t xml:space="preserve">Tel: +998 (71) 200-45-67 | Email: procurement@tashkentortho.uz</w:t>
      </w:r>
    </w:p>
    <w:p>
      <w:pPr>
        <w:pStyle w:val="BodyText"/>
      </w:pPr>
      <w:r>
        <w:t xml:space="preserve">Registration No. 300123456 | VAT ID: 200123456</w:t>
      </w:r>
    </w:p>
    <w:bookmarkEnd w:id="20"/>
    <w:p>
      <w:pPr>
        <w:pStyle w:val="BodyText"/>
      </w:pPr>
      <w:r>
        <w:rPr>
          <w:bCs/>
          <w:b/>
        </w:rPr>
        <w:t xml:space="preserve">Purchase Order No.:</w:t>
      </w:r>
      <w:r>
        <w:t xml:space="preserve"> </w:t>
      </w:r>
      <w:r>
        <w:t xml:space="preserve">PO-TK-2025-00847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Date Required:</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Tashkent, Uzbekistan</w:t>
      </w:r>
    </w:p>
    <w:p>
      <w:pPr>
        <w:pStyle w:val="BodyText"/>
      </w:pPr>
      <w:r>
        <w:t xml:space="preserve">PARTY INFORMATION</w:t>
      </w:r>
    </w:p>
    <w:bookmarkStart w:id="21" w:name="buyer-orthodontist-practice"/>
    <w:p>
      <w:pPr>
        <w:pStyle w:val="Heading3"/>
      </w:pPr>
      <w:r>
        <w:t xml:space="preserve">Buyer (Orthodontist Practice)</w:t>
      </w:r>
    </w:p>
    <w:p>
      <w:pPr>
        <w:pStyle w:val="FirstParagraph"/>
      </w:pPr>
      <w:r>
        <w:rPr>
          <w:bCs/>
          <w:b/>
        </w:rPr>
        <w:t xml:space="preserve">Name:</w:t>
      </w:r>
      <w:r>
        <w:t xml:space="preserve"> </w:t>
      </w:r>
      <w:r>
        <w:t xml:space="preserve">Tashkent Orthodontic Center LLP</w:t>
      </w:r>
    </w:p>
    <w:p>
      <w:pPr>
        <w:pStyle w:val="BodyText"/>
      </w:pPr>
      <w:r>
        <w:rPr>
          <w:bCs/>
          <w:b/>
        </w:rPr>
        <w:t xml:space="preserve">Represented by:</w:t>
      </w:r>
      <w:r>
        <w:t xml:space="preserve"> </w:t>
      </w:r>
      <w:r>
        <w:t xml:space="preserve">Dr. Aziz Karimov, Lead Orthodontist</w:t>
      </w:r>
    </w:p>
    <w:p>
      <w:pPr>
        <w:pStyle w:val="BodyText"/>
      </w:pPr>
      <w:r>
        <w:rPr>
          <w:bCs/>
          <w:b/>
        </w:rPr>
        <w:t xml:space="preserve">Address:</w:t>
      </w:r>
      <w:r>
        <w:t xml:space="preserve"> </w:t>
      </w:r>
      <w:r>
        <w:t xml:space="preserve">142 Amir Temur Avenue, Tashkent, 100084, Uzbekistan</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procurement@tashkentortho.uz</w:t>
      </w:r>
    </w:p>
    <w:p>
      <w:pPr>
        <w:pStyle w:val="BodyText"/>
      </w:pPr>
      <w:r>
        <w:rPr>
          <w:bCs/>
          <w:b/>
        </w:rPr>
        <w:t xml:space="preserve">Bank:</w:t>
      </w:r>
      <w:r>
        <w:t xml:space="preserve"> </w:t>
      </w:r>
      <w:r>
        <w:t xml:space="preserve">Kapitalbank, Tashkent Branch</w:t>
      </w:r>
    </w:p>
    <w:p>
      <w:pPr>
        <w:pStyle w:val="BodyText"/>
      </w:pPr>
      <w:r>
        <w:rPr>
          <w:bCs/>
          <w:b/>
        </w:rPr>
        <w:t xml:space="preserve">IBAN:</w:t>
      </w:r>
      <w:r>
        <w:t xml:space="preserve"> </w:t>
      </w:r>
      <w:r>
        <w:t xml:space="preserve">UZ88 KBAS 9060 0000 1234 5678</w:t>
      </w:r>
    </w:p>
    <w:bookmarkEnd w:id="21"/>
    <w:bookmarkStart w:id="22" w:name="supplier"/>
    <w:p>
      <w:pPr>
        <w:pStyle w:val="Heading3"/>
      </w:pPr>
      <w:r>
        <w:t xml:space="preserve">Supplier</w:t>
      </w:r>
    </w:p>
    <w:p>
      <w:pPr>
        <w:pStyle w:val="FirstParagraph"/>
      </w:pPr>
      <w:r>
        <w:rPr>
          <w:bCs/>
          <w:b/>
        </w:rPr>
        <w:t xml:space="preserve">Name:</w:t>
      </w:r>
      <w:r>
        <w:t xml:space="preserve"> </w:t>
      </w:r>
      <w:r>
        <w:t xml:space="preserve">EuroDental Supply GmbH</w:t>
      </w:r>
    </w:p>
    <w:p>
      <w:pPr>
        <w:pStyle w:val="BodyText"/>
      </w:pPr>
      <w:r>
        <w:rPr>
          <w:bCs/>
          <w:b/>
        </w:rPr>
        <w:t xml:space="preserve">Address:</w:t>
      </w:r>
      <w:r>
        <w:t xml:space="preserve"> </w:t>
      </w:r>
      <w:r>
        <w:t xml:space="preserve">Industriestraße 45, 80331 Munich, Germany</w:t>
      </w:r>
    </w:p>
    <w:p>
      <w:pPr>
        <w:pStyle w:val="BodyText"/>
      </w:pPr>
      <w:r>
        <w:rPr>
          <w:bCs/>
          <w:b/>
        </w:rPr>
        <w:t xml:space="preserve">Contact:</w:t>
      </w:r>
      <w:r>
        <w:t xml:space="preserve"> </w:t>
      </w:r>
      <w:r>
        <w:t xml:space="preserve">Ms. Sabine Müller, Sales Director</w:t>
      </w:r>
    </w:p>
    <w:p>
      <w:pPr>
        <w:pStyle w:val="BodyText"/>
      </w:pPr>
      <w:r>
        <w:rPr>
          <w:bCs/>
          <w:b/>
        </w:rPr>
        <w:t xml:space="preserve">Phone:</w:t>
      </w:r>
      <w:r>
        <w:t xml:space="preserve"> </w:t>
      </w:r>
      <w:r>
        <w:t xml:space="preserve">+49 89 555-1234</w:t>
      </w:r>
    </w:p>
    <w:p>
      <w:pPr>
        <w:pStyle w:val="BodyText"/>
      </w:pPr>
      <w:r>
        <w:rPr>
          <w:bCs/>
          <w:b/>
        </w:rPr>
        <w:t xml:space="preserve">Email:</w:t>
      </w:r>
      <w:r>
        <w:t xml:space="preserve"> </w:t>
      </w:r>
      <w:r>
        <w:t xml:space="preserve">export@eurodental-supply.de</w:t>
      </w:r>
    </w:p>
    <w:p>
      <w:pPr>
        <w:pStyle w:val="BodyText"/>
      </w:pPr>
      <w:r>
        <w:rPr>
          <w:bCs/>
          <w:b/>
        </w:rPr>
        <w:t xml:space="preserve">VAT ID:</w:t>
      </w:r>
      <w:r>
        <w:t xml:space="preserve"> </w:t>
      </w:r>
      <w:r>
        <w:t xml:space="preserve">DE123456789</w:t>
      </w:r>
    </w:p>
    <w:p>
      <w:pPr>
        <w:pStyle w:val="BodyText"/>
      </w:pPr>
      <w:r>
        <w:rPr>
          <w:bCs/>
          <w:b/>
        </w:rPr>
        <w:t xml:space="preserve">Bank:</w:t>
      </w:r>
      <w:r>
        <w:t xml:space="preserve"> </w:t>
      </w:r>
      <w:r>
        <w:t xml:space="preserve">Deutsche Bank AG, Munich</w:t>
      </w:r>
    </w:p>
    <w:p>
      <w:pPr>
        <w:pStyle w:val="BodyText"/>
      </w:pPr>
      <w:r>
        <w:rPr>
          <w:bCs/>
          <w:b/>
        </w:rPr>
        <w:t xml:space="preserve">IBAN:</w:t>
      </w:r>
      <w:r>
        <w:t xml:space="preserve"> </w:t>
      </w:r>
      <w:r>
        <w:t xml:space="preserve">DE89 3704 0044 0532 0130 00</w:t>
      </w:r>
    </w:p>
    <w:bookmarkEnd w:id="22"/>
    <w:p>
      <w:pPr>
        <w:pStyle w:val="BodyText"/>
      </w:pPr>
      <w:r>
        <w:t xml:space="preserve">LINE ITEMS – ORTHODONTIC EQUIPMENT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HS Code</w:t>
            </w:r>
          </w:p>
        </w:tc>
      </w:tr>
      <w:tr>
        <w:tc>
          <w:tcPr/>
          <w:p>
            <w:pPr>
              <w:pStyle w:val="Compact"/>
              <w:jc w:val="left"/>
            </w:pPr>
            <w:r>
              <w:t xml:space="preserve">1</w:t>
            </w:r>
          </w:p>
        </w:tc>
        <w:tc>
          <w:tcPr/>
          <w:p>
            <w:pPr>
              <w:pStyle w:val="Compact"/>
              <w:jc w:val="left"/>
            </w:pPr>
            <w:r>
              <w:t xml:space="preserve">Self-ligating orthodontic bracket system (ceramic, 0.022" slot), complete arch set per patient</w:t>
            </w:r>
          </w:p>
        </w:tc>
        <w:tc>
          <w:tcPr/>
          <w:p>
            <w:pPr>
              <w:pStyle w:val="Compact"/>
              <w:jc w:val="left"/>
            </w:pPr>
            <w:r>
              <w:t xml:space="preserve">Set</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c>
          <w:tcPr/>
          <w:p>
            <w:pPr>
              <w:pStyle w:val="Compact"/>
              <w:jc w:val="left"/>
            </w:pPr>
            <w:r>
              <w:t xml:space="preserve">9021.10</w:t>
            </w:r>
          </w:p>
        </w:tc>
      </w:tr>
      <w:tr>
        <w:tc>
          <w:tcPr/>
          <w:p>
            <w:pPr>
              <w:pStyle w:val="Compact"/>
              <w:jc w:val="left"/>
            </w:pPr>
            <w:r>
              <w:t xml:space="preserve">2</w:t>
            </w:r>
          </w:p>
        </w:tc>
        <w:tc>
          <w:tcPr/>
          <w:p>
            <w:pPr>
              <w:pStyle w:val="Compact"/>
              <w:jc w:val="left"/>
            </w:pPr>
            <w:r>
              <w:t xml:space="preserve">NiTi archwires, rectangular 0.019x0.025", 14" length, 10-pack</w:t>
            </w:r>
          </w:p>
        </w:tc>
        <w:tc>
          <w:tcPr/>
          <w:p>
            <w:pPr>
              <w:pStyle w:val="Compact"/>
              <w:jc w:val="left"/>
            </w:pPr>
            <w:r>
              <w:t xml:space="preserve">Pack</w:t>
            </w:r>
          </w:p>
        </w:tc>
        <w:tc>
          <w:tcPr/>
          <w:p>
            <w:pPr>
              <w:pStyle w:val="Compact"/>
              <w:jc w:val="left"/>
            </w:pPr>
            <w:r>
              <w:t xml:space="preserve">150</w:t>
            </w:r>
          </w:p>
        </w:tc>
        <w:tc>
          <w:tcPr/>
          <w:p>
            <w:pPr>
              <w:pStyle w:val="Compact"/>
              <w:jc w:val="left"/>
            </w:pPr>
            <w:r>
              <w:t xml:space="preserve">42.50</w:t>
            </w:r>
          </w:p>
        </w:tc>
        <w:tc>
          <w:tcPr/>
          <w:p>
            <w:pPr>
              <w:pStyle w:val="Compact"/>
              <w:jc w:val="left"/>
            </w:pPr>
            <w:r>
              <w:t xml:space="preserve">6,375.00</w:t>
            </w:r>
          </w:p>
        </w:tc>
        <w:tc>
          <w:tcPr/>
          <w:p>
            <w:pPr>
              <w:pStyle w:val="Compact"/>
              <w:jc w:val="left"/>
            </w:pPr>
            <w:r>
              <w:t xml:space="preserve">9021.10</w:t>
            </w:r>
          </w:p>
        </w:tc>
      </w:tr>
      <w:tr>
        <w:tc>
          <w:tcPr/>
          <w:p>
            <w:pPr>
              <w:pStyle w:val="Compact"/>
              <w:jc w:val="left"/>
            </w:pPr>
            <w:r>
              <w:t xml:space="preserve">3</w:t>
            </w:r>
          </w:p>
        </w:tc>
        <w:tc>
          <w:tcPr/>
          <w:p>
            <w:pPr>
              <w:pStyle w:val="Compact"/>
              <w:jc w:val="left"/>
            </w:pPr>
            <w:r>
              <w:t xml:space="preserve">Orthodontic bonding kit (etchant, primer, composite resin, light-curing unit tips)</w:t>
            </w:r>
          </w:p>
        </w:tc>
        <w:tc>
          <w:tcPr/>
          <w:p>
            <w:pPr>
              <w:pStyle w:val="Compact"/>
              <w:jc w:val="left"/>
            </w:pPr>
            <w:r>
              <w:t xml:space="preserve">Kit</w:t>
            </w:r>
          </w:p>
        </w:tc>
        <w:tc>
          <w:tcPr/>
          <w:p>
            <w:pPr>
              <w:pStyle w:val="Compact"/>
              <w:jc w:val="left"/>
            </w:pPr>
            <w:r>
              <w:t xml:space="preserve">100</w:t>
            </w:r>
          </w:p>
        </w:tc>
        <w:tc>
          <w:tcPr/>
          <w:p>
            <w:pPr>
              <w:pStyle w:val="Compact"/>
              <w:jc w:val="left"/>
            </w:pPr>
            <w:r>
              <w:t xml:space="preserve">68.00</w:t>
            </w:r>
          </w:p>
        </w:tc>
        <w:tc>
          <w:tcPr/>
          <w:p>
            <w:pPr>
              <w:pStyle w:val="Compact"/>
              <w:jc w:val="left"/>
            </w:pPr>
            <w:r>
              <w:t xml:space="preserve">6,800.00</w:t>
            </w:r>
          </w:p>
        </w:tc>
        <w:tc>
          <w:tcPr/>
          <w:p>
            <w:pPr>
              <w:pStyle w:val="Compact"/>
              <w:jc w:val="left"/>
            </w:pPr>
            <w:r>
              <w:t xml:space="preserve">3824.99</w:t>
            </w:r>
          </w:p>
        </w:tc>
      </w:tr>
      <w:tr>
        <w:tc>
          <w:tcPr/>
          <w:p>
            <w:pPr>
              <w:pStyle w:val="Compact"/>
              <w:jc w:val="left"/>
            </w:pPr>
            <w:r>
              <w:t xml:space="preserve">4</w:t>
            </w:r>
          </w:p>
        </w:tc>
        <w:tc>
          <w:tcPr/>
          <w:p>
            <w:pPr>
              <w:pStyle w:val="Compact"/>
              <w:jc w:val="left"/>
            </w:pPr>
            <w:r>
              <w:t xml:space="preserve">Interproximal reduction (IPR) diamond strips, 0.25mm, 50-pack</w:t>
            </w:r>
          </w:p>
        </w:tc>
        <w:tc>
          <w:tcPr/>
          <w:p>
            <w:pPr>
              <w:pStyle w:val="Compact"/>
              <w:jc w:val="left"/>
            </w:pPr>
            <w:r>
              <w:t xml:space="preserve">Pack</w:t>
            </w:r>
          </w:p>
        </w:tc>
        <w:tc>
          <w:tcPr/>
          <w:p>
            <w:pPr>
              <w:pStyle w:val="Compact"/>
              <w:jc w:val="left"/>
            </w:pPr>
            <w:r>
              <w:t xml:space="preserve">80</w:t>
            </w:r>
          </w:p>
        </w:tc>
        <w:tc>
          <w:tcPr/>
          <w:p>
            <w:pPr>
              <w:pStyle w:val="Compact"/>
              <w:jc w:val="left"/>
            </w:pPr>
            <w:r>
              <w:t xml:space="preserve">35.00</w:t>
            </w:r>
          </w:p>
        </w:tc>
        <w:tc>
          <w:tcPr/>
          <w:p>
            <w:pPr>
              <w:pStyle w:val="Compact"/>
              <w:jc w:val="left"/>
            </w:pPr>
            <w:r>
              <w:t xml:space="preserve">2,800.00</w:t>
            </w:r>
          </w:p>
        </w:tc>
        <w:tc>
          <w:tcPr/>
          <w:p>
            <w:pPr>
              <w:pStyle w:val="Compact"/>
              <w:jc w:val="left"/>
            </w:pPr>
            <w:r>
              <w:t xml:space="preserve">9018.90</w:t>
            </w:r>
          </w:p>
        </w:tc>
      </w:tr>
      <w:tr>
        <w:tc>
          <w:tcPr/>
          <w:p>
            <w:pPr>
              <w:pStyle w:val="Compact"/>
              <w:jc w:val="left"/>
            </w:pPr>
            <w:r>
              <w:t xml:space="preserve">5</w:t>
            </w:r>
          </w:p>
        </w:tc>
        <w:tc>
          <w:tcPr/>
          <w:p>
            <w:pPr>
              <w:pStyle w:val="Compact"/>
              <w:jc w:val="left"/>
            </w:pPr>
            <w:r>
              <w:t xml:space="preserve">Orthodontic elastics, 0.021" and 0.028" gauge, assorted colors, 1000-piece box</w:t>
            </w:r>
          </w:p>
        </w:tc>
        <w:tc>
          <w:tcPr/>
          <w:p>
            <w:pPr>
              <w:pStyle w:val="Compact"/>
              <w:jc w:val="left"/>
            </w:pPr>
            <w:r>
              <w:t xml:space="preserve">Box</w:t>
            </w:r>
          </w:p>
        </w:tc>
        <w:tc>
          <w:tcPr/>
          <w:p>
            <w:pPr>
              <w:pStyle w:val="Compact"/>
              <w:jc w:val="left"/>
            </w:pPr>
            <w:r>
              <w:t xml:space="preserve">60</w:t>
            </w:r>
          </w:p>
        </w:tc>
        <w:tc>
          <w:tcPr/>
          <w:p>
            <w:pPr>
              <w:pStyle w:val="Compact"/>
              <w:jc w:val="left"/>
            </w:pPr>
            <w:r>
              <w:t xml:space="preserve">28.00</w:t>
            </w:r>
          </w:p>
        </w:tc>
        <w:tc>
          <w:tcPr/>
          <w:p>
            <w:pPr>
              <w:pStyle w:val="Compact"/>
              <w:jc w:val="left"/>
            </w:pPr>
            <w:r>
              <w:t xml:space="preserve">1,680.00</w:t>
            </w:r>
          </w:p>
        </w:tc>
        <w:tc>
          <w:tcPr/>
          <w:p>
            <w:pPr>
              <w:pStyle w:val="Compact"/>
              <w:jc w:val="left"/>
            </w:pPr>
            <w:r>
              <w:t xml:space="preserve">9021.10</w:t>
            </w:r>
          </w:p>
        </w:tc>
      </w:tr>
      <w:tr>
        <w:tc>
          <w:tcPr/>
          <w:p>
            <w:pPr>
              <w:pStyle w:val="Compact"/>
              <w:jc w:val="left"/>
            </w:pPr>
            <w:r>
              <w:t xml:space="preserve">6</w:t>
            </w:r>
          </w:p>
        </w:tc>
        <w:tc>
          <w:tcPr/>
          <w:p>
            <w:pPr>
              <w:pStyle w:val="Compact"/>
              <w:jc w:val="left"/>
            </w:pPr>
            <w:r>
              <w:t xml:space="preserve">Digital intraoral scanner, 3D imaging, compatible with orthodontic treatment planning software</w:t>
            </w:r>
          </w:p>
        </w:tc>
        <w:tc>
          <w:tcPr/>
          <w:p>
            <w:pPr>
              <w:pStyle w:val="Compact"/>
              <w:jc w:val="left"/>
            </w:pPr>
            <w:r>
              <w:t xml:space="preserve">Unit</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9018.90</w:t>
            </w:r>
          </w:p>
        </w:tc>
      </w:tr>
      <w:tr>
        <w:tc>
          <w:tcPr/>
          <w:p>
            <w:pPr>
              <w:pStyle w:val="Compact"/>
              <w:jc w:val="left"/>
            </w:pPr>
            <w:r>
              <w:t xml:space="preserve">7</w:t>
            </w:r>
          </w:p>
        </w:tc>
        <w:tc>
          <w:tcPr/>
          <w:p>
            <w:pPr>
              <w:pStyle w:val="Compact"/>
              <w:jc w:val="left"/>
            </w:pPr>
            <w:r>
              <w:t xml:space="preserve">Orthodontic forceps set (bracket placement, wire cutting, ligature removal), 12-piece stainless steel</w:t>
            </w:r>
          </w:p>
        </w:tc>
        <w:tc>
          <w:tcPr/>
          <w:p>
            <w:pPr>
              <w:pStyle w:val="Compact"/>
              <w:jc w:val="left"/>
            </w:pPr>
            <w:r>
              <w:t xml:space="preserve">Set</w:t>
            </w:r>
          </w:p>
        </w:tc>
        <w:tc>
          <w:tcPr/>
          <w:p>
            <w:pPr>
              <w:pStyle w:val="Compact"/>
              <w:jc w:val="left"/>
            </w:pPr>
            <w:r>
              <w:t xml:space="preserve">10</w:t>
            </w:r>
          </w:p>
        </w:tc>
        <w:tc>
          <w:tcPr/>
          <w:p>
            <w:pPr>
              <w:pStyle w:val="Compact"/>
              <w:jc w:val="left"/>
            </w:pPr>
            <w:r>
              <w:t xml:space="preserve">125.00</w:t>
            </w:r>
          </w:p>
        </w:tc>
        <w:tc>
          <w:tcPr/>
          <w:p>
            <w:pPr>
              <w:pStyle w:val="Compact"/>
              <w:jc w:val="left"/>
            </w:pPr>
            <w:r>
              <w:t xml:space="preserve">1,250.00</w:t>
            </w:r>
          </w:p>
        </w:tc>
        <w:tc>
          <w:tcPr/>
          <w:p>
            <w:pPr>
              <w:pStyle w:val="Compact"/>
              <w:jc w:val="left"/>
            </w:pPr>
            <w:r>
              <w:t xml:space="preserve">9018.90</w:t>
            </w:r>
          </w:p>
        </w:tc>
      </w:tr>
      <w:tr>
        <w:tc>
          <w:tcPr/>
          <w:p>
            <w:pPr>
              <w:pStyle w:val="Compact"/>
              <w:jc w:val="left"/>
            </w:pPr>
            <w:r>
              <w:t xml:space="preserve">8</w:t>
            </w:r>
          </w:p>
        </w:tc>
        <w:tc>
          <w:tcPr/>
          <w:p>
            <w:pPr>
              <w:pStyle w:val="Compact"/>
              <w:jc w:val="left"/>
            </w:pPr>
            <w:r>
              <w:t xml:space="preserve">Patient instruction cards and aftercare brochures (English, Russian, Uzbek), 500 copies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4901.99</w:t>
            </w:r>
          </w:p>
        </w:tc>
      </w:tr>
    </w:tbl>
    <w:p>
      <w:pPr>
        <w:pStyle w:val="BodyText"/>
      </w:pPr>
      <w:r>
        <w:t xml:space="preserve">Subtotal:</w:t>
      </w:r>
      <w:r>
        <w:t xml:space="preserve">USD 65,355.00</w:t>
      </w:r>
    </w:p>
    <w:p>
      <w:pPr>
        <w:pStyle w:val="BodyText"/>
      </w:pPr>
      <w:r>
        <w:t xml:space="preserve">Import Duty (Uzbekistan, 5%):</w:t>
      </w:r>
      <w:r>
        <w:t xml:space="preserve">USD 3,267.75</w:t>
      </w:r>
    </w:p>
    <w:p>
      <w:pPr>
        <w:pStyle w:val="BodyText"/>
      </w:pPr>
      <w:r>
        <w:t xml:space="preserve">VAT (Uzbekistan, 12%):</w:t>
      </w:r>
      <w:r>
        <w:t xml:space="preserve">USD 8,329.38</w:t>
      </w:r>
    </w:p>
    <w:p>
      <w:pPr>
        <w:pStyle w:val="BodyText"/>
      </w:pPr>
      <w:r>
        <w:t xml:space="preserve">Shipping &amp; Insurance (DDP):</w:t>
      </w:r>
      <w:r>
        <w:t xml:space="preserve">USD 2,150.00</w:t>
      </w:r>
    </w:p>
    <w:p>
      <w:pPr>
        <w:pStyle w:val="BodyText"/>
      </w:pPr>
      <w:r>
        <w:t xml:space="preserve">GRAND TOTAL:</w:t>
      </w:r>
      <w:r>
        <w:t xml:space="preserve">USD 79,102.13</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Tashkent Orthodontic Center LLP, a licensed orthodontic practice operating in</w:t>
      </w:r>
      <w:r>
        <w:t xml:space="preserve"> </w:t>
      </w:r>
      <w:r>
        <w:t xml:space="preserve">Uzbekistan Tashkent</w:t>
      </w:r>
      <w:r>
        <w:t xml:space="preserve">, and constitutes a binding offer to purchase the orthodontic goods and equipment listed above from the named supplier.</w:t>
      </w:r>
    </w:p>
    <w:p>
      <w:pPr>
        <w:numPr>
          <w:ilvl w:val="0"/>
          <w:numId w:val="1001"/>
        </w:numPr>
        <w:pStyle w:val="Compact"/>
      </w:pPr>
      <w:r>
        <w:t xml:space="preserve">All items shall be delivered to the buyer's facility at 142 Amir Temur Avenue, Tashkent, Uzbekistan, no later than 05 July 2025. The</w:t>
      </w:r>
      <w:r>
        <w:t xml:space="preserve"> </w:t>
      </w:r>
      <w:r>
        <w:t xml:space="preserve">Orthodontist</w:t>
      </w:r>
      <w:r>
        <w:t xml:space="preserve"> </w:t>
      </w:r>
      <w:r>
        <w:t xml:space="preserve">practice requires all orthodontic brackets, wires, and instruments to arrive in full compliance with the Uzbekistan State Sanitary-Epidemiological Service (SSS) registration requirements.</w:t>
      </w:r>
    </w:p>
    <w:p>
      <w:pPr>
        <w:numPr>
          <w:ilvl w:val="0"/>
          <w:numId w:val="1001"/>
        </w:numPr>
        <w:pStyle w:val="Compact"/>
      </w:pPr>
      <w:r>
        <w:t xml:space="preserve">Payment shall be made within thirty (30) calendar days from the date of confirmed delivery and acceptance of goods at the</w:t>
      </w:r>
      <w:r>
        <w:t xml:space="preserve"> </w:t>
      </w:r>
      <w:r>
        <w:t xml:space="preserve">Uzbekistan Tashkent</w:t>
      </w:r>
      <w:r>
        <w:t xml:space="preserve"> </w:t>
      </w:r>
      <w:r>
        <w:t xml:space="preserve">premises. Payment shall be remitted via international wire transfer to the supplier's designated bank account in EUR or USD.</w:t>
      </w:r>
    </w:p>
    <w:p>
      <w:pPr>
        <w:numPr>
          <w:ilvl w:val="0"/>
          <w:numId w:val="1001"/>
        </w:numPr>
        <w:pStyle w:val="Compact"/>
      </w:pPr>
      <w:r>
        <w:t xml:space="preserve">The supplier warrants that all orthodontic products are new, unused, manufactured in accordance with ISO 13485 medical device quality standards, and carry valid CE marking. The</w:t>
      </w:r>
      <w:r>
        <w:t xml:space="preserve"> </w:t>
      </w:r>
      <w:r>
        <w:t xml:space="preserve">Orthodontist</w:t>
      </w:r>
      <w:r>
        <w:t xml:space="preserve"> </w:t>
      </w:r>
      <w:r>
        <w:t xml:space="preserve">buyer reserves the right to reject any lot that fails to meet the specifications stated in this</w:t>
      </w:r>
      <w:r>
        <w:t xml:space="preserve"> </w:t>
      </w:r>
      <w:r>
        <w:t xml:space="preserve">Purchase Order</w:t>
      </w:r>
      <w:r>
        <w:t xml:space="preserve">.</w:t>
      </w:r>
    </w:p>
    <w:p>
      <w:pPr>
        <w:numPr>
          <w:ilvl w:val="0"/>
          <w:numId w:val="1001"/>
        </w:numPr>
        <w:pStyle w:val="Compact"/>
      </w:pPr>
      <w:r>
        <w:t xml:space="preserve">Customs clearance, import duties, and applicable taxes within</w:t>
      </w:r>
      <w:r>
        <w:t xml:space="preserve"> </w:t>
      </w:r>
      <w:r>
        <w:t xml:space="preserve">Uzbekistan Tashkent</w:t>
      </w:r>
      <w:r>
        <w:t xml:space="preserve"> </w:t>
      </w:r>
      <w:r>
        <w:t xml:space="preserve">shall be the responsibility of the buyer unless otherwise stated under the DDP Incoterm. The supplier shall provide all necessary commercial invoices, packing lists, certificates of origin, and medical device conformity documents to facilitate customs processing at Tashkent International Airport or the Tashkent Dry Port.</w:t>
      </w:r>
    </w:p>
    <w:p>
      <w:pPr>
        <w:numPr>
          <w:ilvl w:val="0"/>
          <w:numId w:val="1001"/>
        </w:numPr>
        <w:pStyle w:val="Compact"/>
      </w:pPr>
      <w:r>
        <w:t xml:space="preserve">In the event of partial shipment, the supplier must notify the</w:t>
      </w:r>
      <w:r>
        <w:t xml:space="preserve"> </w:t>
      </w:r>
      <w:r>
        <w:t xml:space="preserve">Orthodontist</w:t>
      </w:r>
      <w:r>
        <w:t xml:space="preserve"> </w:t>
      </w:r>
      <w:r>
        <w:t xml:space="preserve">buyer in writing at least five (5) business days prior to dispatch. Any delay beyond the agreed delivery date shall incur a penalty of 0.5% of the delayed item value per calendar day, capped at 10% of the total</w:t>
      </w:r>
      <w:r>
        <w:t xml:space="preserve"> </w:t>
      </w:r>
      <w:r>
        <w:t xml:space="preserve">Purchase Order</w:t>
      </w:r>
      <w:r>
        <w:t xml:space="preserve"> </w:t>
      </w:r>
      <w:r>
        <w:t xml:space="preserve">value.</w:t>
      </w:r>
    </w:p>
    <w:p>
      <w:pPr>
        <w:numPr>
          <w:ilvl w:val="0"/>
          <w:numId w:val="1001"/>
        </w:numPr>
        <w:pStyle w:val="Compact"/>
      </w:pPr>
      <w:r>
        <w:t xml:space="preserve">All orthodontic consumables (brackets, wires, elastics, bonding materials) must carry a minimum shelf life of twenty-four (24) months from the date of manufacture. The</w:t>
      </w:r>
      <w:r>
        <w:t xml:space="preserve"> </w:t>
      </w:r>
      <w:r>
        <w:t xml:space="preserve">Orthodontist</w:t>
      </w:r>
      <w:r>
        <w:t xml:space="preserve"> </w:t>
      </w:r>
      <w:r>
        <w:t xml:space="preserve">practice in</w:t>
      </w:r>
      <w:r>
        <w:t xml:space="preserve"> </w:t>
      </w:r>
      <w:r>
        <w:t xml:space="preserve">Uzbekistan Tashkent</w:t>
      </w:r>
      <w:r>
        <w:t xml:space="preserve"> </w:t>
      </w:r>
      <w:r>
        <w:t xml:space="preserve">will conduct incoming quality inspection within three (3) business days of receipt.</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Uzbekistan. Any disputes arising from this agreement shall be resolved through arbitration at the International Arbitration Center under the Chamber of Commerce and Industry of Uzbekistan, seated in Tashkent.</w:t>
      </w:r>
    </w:p>
    <w:p>
      <w:pPr>
        <w:numPr>
          <w:ilvl w:val="0"/>
          <w:numId w:val="1001"/>
        </w:numPr>
        <w:pStyle w:val="Compact"/>
      </w:pPr>
      <w:r>
        <w:t xml:space="preserve">The supplier acknowledges that the goods are intended for clinical use by a registered</w:t>
      </w:r>
      <w:r>
        <w:t xml:space="preserve"> </w:t>
      </w:r>
      <w:r>
        <w:t xml:space="preserve">Orthodontist</w:t>
      </w:r>
      <w:r>
        <w:t xml:space="preserve"> </w:t>
      </w:r>
      <w:r>
        <w:t xml:space="preserve">and associated dental professionals at a licensed medical facility in</w:t>
      </w:r>
      <w:r>
        <w:t xml:space="preserve"> </w:t>
      </w:r>
      <w:r>
        <w:t xml:space="preserve">Uzbekistan Tashkent</w:t>
      </w:r>
      <w:r>
        <w:t xml:space="preserve">. The supplier shall not resell or divert any portion of this order to third parties without written consent from the buyer.</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15 July 2025, after which it shall be automatically void unless renewed in writing.</w:t>
      </w:r>
    </w:p>
    <w:p>
      <w:pPr>
        <w:pStyle w:val="FirstParagraph"/>
      </w:pPr>
      <w:r>
        <w:t xml:space="preserve">AUTHORIZATION AND SIGNATURES</w:t>
      </w:r>
    </w:p>
    <w:p>
      <w:pPr>
        <w:pStyle w:val="BodyText"/>
      </w:pPr>
      <w:r>
        <w:rPr>
          <w:bCs/>
          <w:b/>
        </w:rPr>
        <w:t xml:space="preserve">For and on behalf of the Buyer:</w:t>
      </w:r>
    </w:p>
    <w:p>
      <w:pPr>
        <w:pStyle w:val="BodyText"/>
      </w:pPr>
      <w:r>
        <w:t xml:space="preserve">Tashkent Orthodontic Center LLP</w:t>
      </w:r>
    </w:p>
    <w:p>
      <w:pPr>
        <w:pStyle w:val="BodyText"/>
      </w:pPr>
      <w:r>
        <w:t xml:space="preserve">Dr. Aziz Karimov, Lead Orthodontist</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EuroDental Supply GmbH</w:t>
      </w:r>
    </w:p>
    <w:p>
      <w:pPr>
        <w:pStyle w:val="BodyText"/>
      </w:pPr>
      <w:r>
        <w:t xml:space="preserve">Ms. Sabine Müller, 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(PO-TK-2025-00847) was prepared for the Tashkent Orthodontic Center LLP, a registered orthodontic practice in Uzbekistan Tashkent. All orthodontic products referenced herein are intended for professional clinical use by a licensed Orthodontist. This document is confidential and may not be reproduced or distributed without prior written consent of both parties.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Tashkent, Uzbekistan</dc:title>
  <dc:creator/>
  <dc:language>en</dc:language>
  <cp:keywords/>
  <dcterms:created xsi:type="dcterms:W3CDTF">2026-10-10T04:14:08Z</dcterms:created>
  <dcterms:modified xsi:type="dcterms:W3CDTF">2026-10-10T04:14:08Z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