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7" w:name="purchase-order"/>
    <w:p>
      <w:pPr>
        <w:pStyle w:val="Heading1"/>
      </w:pPr>
      <w:r>
        <w:t xml:space="preserve">PURCHASE ORDER</w:t>
      </w:r>
    </w:p>
    <w:p>
      <w:pPr>
        <w:pStyle w:val="FirstParagraph"/>
      </w:pPr>
      <w:r>
        <w:t xml:space="preserve">Purchase Order No.: PO-IL-TLV-2025-04872</w:t>
      </w:r>
    </w:p>
    <w:p>
      <w:pPr>
        <w:pStyle w:val="BodyText"/>
      </w:pPr>
      <w:r>
        <w:t xml:space="preserve">Date of Issue: 14 June 2025</w:t>
      </w:r>
    </w:p>
    <w:p>
      <w:pPr>
        <w:pStyle w:val="BodyText"/>
      </w:pPr>
      <w:r>
        <w:t xml:space="preserve">Valid Until: 14 September 2025</w:t>
      </w:r>
    </w:p>
    <w:p>
      <w:pPr>
        <w:pStyle w:val="BodyText"/>
      </w:pPr>
      <w:r>
        <w:rPr>
          <w:bCs/>
          <w:b/>
        </w:rPr>
        <w:t xml:space="preserve">Issuing Entity:</w:t>
      </w:r>
    </w:p>
    <w:p>
      <w:pPr>
        <w:pStyle w:val="BodyText"/>
      </w:pPr>
      <w:r>
        <w:t xml:space="preserve">MedEast Energy Solutions Ltd.</w:t>
      </w:r>
    </w:p>
    <w:p>
      <w:pPr>
        <w:pStyle w:val="BodyText"/>
      </w:pPr>
      <w:r>
        <w:t xml:space="preserve">45 HaYarkon Street, Floor 12</w:t>
      </w:r>
    </w:p>
    <w:p>
      <w:pPr>
        <w:pStyle w:val="BodyText"/>
      </w:pPr>
      <w:r>
        <w:t xml:space="preserve">Tel Aviv-Yafo, Israel 6910001</w:t>
      </w:r>
    </w:p>
    <w:p>
      <w:pPr>
        <w:pStyle w:val="BodyText"/>
      </w:pPr>
      <w:r>
        <w:t xml:space="preserve">VAT No.: 51-804-227-19</w:t>
      </w:r>
    </w:p>
    <w:p>
      <w:pPr>
        <w:pStyle w:val="BodyText"/>
      </w:pPr>
      <w:r>
        <w:t xml:space="preserve">Phone: +972-3-640-8821</w:t>
      </w:r>
    </w:p>
    <w:p>
      <w:pPr>
        <w:pStyle w:val="BodyText"/>
      </w:pPr>
      <w:r>
        <w:t xml:space="preserve">Email: procurement@medeastenergy.co.il</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DeepWell Petroleum Consulting Group Ltd.</w:t>
            </w:r>
          </w:p>
        </w:tc>
      </w:tr>
      <w:tr>
        <w:tc>
          <w:tcPr/>
          <w:p>
            <w:pPr>
              <w:pStyle w:val="Compact"/>
              <w:jc w:val="left"/>
            </w:pPr>
            <w:r>
              <w:t xml:space="preserve">Address</w:t>
            </w:r>
          </w:p>
        </w:tc>
        <w:tc>
          <w:tcPr/>
          <w:p>
            <w:pPr>
              <w:pStyle w:val="Compact"/>
              <w:jc w:val="left"/>
            </w:pPr>
            <w:r>
              <w:t xml:space="preserve">18 Allenby Boulevard, Suite 704, Tel Aviv-Yafo, Israel 6519601</w:t>
            </w:r>
          </w:p>
        </w:tc>
      </w:tr>
      <w:tr>
        <w:tc>
          <w:tcPr/>
          <w:p>
            <w:pPr>
              <w:pStyle w:val="Compact"/>
              <w:jc w:val="left"/>
            </w:pPr>
            <w:r>
              <w:t xml:space="preserve">VAT No.</w:t>
            </w:r>
          </w:p>
        </w:tc>
        <w:tc>
          <w:tcPr/>
          <w:p>
            <w:pPr>
              <w:pStyle w:val="Compact"/>
              <w:jc w:val="left"/>
            </w:pPr>
            <w:r>
              <w:t xml:space="preserve">51-622-904-33</w:t>
            </w:r>
          </w:p>
        </w:tc>
      </w:tr>
      <w:tr>
        <w:tc>
          <w:tcPr/>
          <w:p>
            <w:pPr>
              <w:pStyle w:val="Compact"/>
              <w:jc w:val="left"/>
            </w:pPr>
            <w:r>
              <w:t xml:space="preserve">Contact Person</w:t>
            </w:r>
          </w:p>
        </w:tc>
        <w:tc>
          <w:tcPr/>
          <w:p>
            <w:pPr>
              <w:pStyle w:val="Compact"/>
              <w:jc w:val="left"/>
            </w:pPr>
            <w:r>
              <w:t xml:space="preserve">Dr. Yael Ben-Ami, Director of Engineering Services</w:t>
            </w:r>
          </w:p>
        </w:tc>
      </w:tr>
      <w:tr>
        <w:tc>
          <w:tcPr/>
          <w:p>
            <w:pPr>
              <w:pStyle w:val="Compact"/>
              <w:jc w:val="left"/>
            </w:pPr>
            <w:r>
              <w:t xml:space="preserve">Phone</w:t>
            </w:r>
          </w:p>
        </w:tc>
        <w:tc>
          <w:tcPr/>
          <w:p>
            <w:pPr>
              <w:pStyle w:val="Compact"/>
              <w:jc w:val="left"/>
            </w:pPr>
            <w:r>
              <w:t xml:space="preserve">+972-3-517-4402</w:t>
            </w:r>
          </w:p>
        </w:tc>
      </w:tr>
      <w:tr>
        <w:tc>
          <w:tcPr/>
          <w:p>
            <w:pPr>
              <w:pStyle w:val="Compact"/>
              <w:jc w:val="left"/>
            </w:pPr>
            <w:r>
              <w:t xml:space="preserve">Email</w:t>
            </w:r>
          </w:p>
        </w:tc>
        <w:tc>
          <w:tcPr/>
          <w:p>
            <w:pPr>
              <w:pStyle w:val="Compact"/>
              <w:jc w:val="left"/>
            </w:pPr>
            <w:r>
              <w:t xml:space="preserve">yael.benami@deepwellpetro.co.il</w:t>
            </w:r>
          </w:p>
        </w:tc>
      </w:tr>
      <w:tr>
        <w:tc>
          <w:tcPr/>
          <w:p>
            <w:pPr>
              <w:pStyle w:val="Compact"/>
              <w:jc w:val="left"/>
            </w:pPr>
            <w:r>
              <w:t xml:space="preserve">Bank Details</w:t>
            </w:r>
          </w:p>
        </w:tc>
        <w:tc>
          <w:tcPr/>
          <w:p>
            <w:pPr>
              <w:pStyle w:val="Compact"/>
              <w:jc w:val="left"/>
            </w:pPr>
            <w:r>
              <w:t xml:space="preserve">Bank: Bank Hapoalim, Branch: Tel Aviv Central, Account: 001-448291-7, IBAN: IL01 0100 0000 0000 4482 917</w:t>
            </w:r>
          </w:p>
        </w:tc>
      </w:tr>
    </w:tbl>
    <w:bookmarkEnd w:id="20"/>
    <w:bookmarkStart w:id="21" w:name="X172d1c808c4414fdba3465075e4be1d7d1ef344"/>
    <w:p>
      <w:pPr>
        <w:pStyle w:val="Heading2"/>
      </w:pPr>
      <w:r>
        <w:t xml:space="preserve">2. Scope of Work – Petroleum Engineer Services</w:t>
      </w:r>
    </w:p>
    <w:p>
      <w:pPr>
        <w:pStyle w:val="FirstParagraph"/>
      </w:pPr>
      <w:r>
        <w:t xml:space="preserve">This Purchase Order is issued by MedEast Energy Solutions Ltd. (hereinafter referred to as the "Buyer") to DeepWell Petroleum Consulting Group Ltd. (hereinafter referred to as the "Supplier") for the engagement of a qualified</w:t>
      </w:r>
      <w:r>
        <w:t xml:space="preserve"> </w:t>
      </w:r>
      <w:r>
        <w:rPr>
          <w:bCs/>
          <w:b/>
        </w:rPr>
        <w:t xml:space="preserve">Petroleum Engineer</w:t>
      </w:r>
      <w:r>
        <w:t xml:space="preserve"> </w:t>
      </w:r>
      <w:r>
        <w:t xml:space="preserve">to provide comprehensive subsurface evaluation, reservoir modeling, and production optimization services. The Petroleum Engineer shall be assigned to the Buyer's offshore exploration and production operations in the Leviathan and Tamar gas fields, located in the Israeli Exclusive Economic Zone, with primary coordination and reporting conducted from the Buyer's headquarters in</w:t>
      </w:r>
      <w:r>
        <w:t xml:space="preserve"> </w:t>
      </w:r>
      <w:r>
        <w:rPr>
          <w:bCs/>
          <w:b/>
        </w:rPr>
        <w:t xml:space="preserve">Israel Tel Aviv</w:t>
      </w:r>
      <w:r>
        <w:t xml:space="preserve">.</w:t>
      </w:r>
    </w:p>
    <w:p>
      <w:pPr>
        <w:pStyle w:val="BodyText"/>
      </w:pPr>
      <w:r>
        <w:t xml:space="preserve">The Petroleum Engineer engaged under this Purchase Order must hold a minimum of a Master's degree in Petroleum Engineering from an accredited institution, possess at least ten (10) years of progressive experience in hydrocarbon reservoir management, and be registered with the Israel Engineers Association (Rishon Le'Ingenieurs). The Petroleum Engineer shall report directly to the Buyer's Chief Technical Officer and shall be physically present at the Tel Aviv office no fewer than three (3) days per week, with the remaining days allocated to field-site inspections and offshore platform visits as directed.</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Monthly retainer for senior Petroleum Engineer – subsurface analysis, reservoir simulation, and production forecasting for the Leviathan field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Preparation of a comprehensive Reservoir Performance Report including 3D geological modeling and wellbore trajectory optimization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On-site inspection and data acquisition at the Tamar offshore platform (including travel, accommodation, and PPE)</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32,500</w:t>
            </w:r>
          </w:p>
        </w:tc>
        <w:tc>
          <w:tcPr/>
          <w:p>
            <w:pPr>
              <w:pStyle w:val="Compact"/>
              <w:jc w:val="left"/>
            </w:pPr>
            <w:r>
              <w:t xml:space="preserve">130,000</w:t>
            </w:r>
          </w:p>
        </w:tc>
      </w:tr>
      <w:tr>
        <w:tc>
          <w:tcPr/>
          <w:p>
            <w:pPr>
              <w:pStyle w:val="Compact"/>
              <w:jc w:val="left"/>
            </w:pPr>
            <w:r>
              <w:t xml:space="preserve">04</w:t>
            </w:r>
          </w:p>
        </w:tc>
        <w:tc>
          <w:tcPr/>
          <w:p>
            <w:pPr>
              <w:pStyle w:val="Compact"/>
              <w:jc w:val="left"/>
            </w:pPr>
            <w:r>
              <w:t xml:space="preserve">Development of a 12-month Production Optimization Plan with economic sensitivity analysis for the Buyer's board presentation in Tel Aviv</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05</w:t>
            </w:r>
          </w:p>
        </w:tc>
        <w:tc>
          <w:tcPr/>
          <w:p>
            <w:pPr>
              <w:pStyle w:val="Compact"/>
              <w:jc w:val="left"/>
            </w:pPr>
            <w:r>
              <w:t xml:space="preserve">Licensing fees for proprietary reservoir simulation software (Petrel / Eclipse) for the duration of the contract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12,800</w:t>
            </w:r>
          </w:p>
        </w:tc>
        <w:tc>
          <w:tcPr/>
          <w:p>
            <w:pPr>
              <w:pStyle w:val="Compact"/>
              <w:jc w:val="left"/>
            </w:pPr>
            <w:r>
              <w:t xml:space="preserve">76,800</w:t>
            </w:r>
          </w:p>
        </w:tc>
      </w:tr>
      <w:tr>
        <w:tc>
          <w:tcPr/>
          <w:p>
            <w:pPr>
              <w:pStyle w:val="Compact"/>
              <w:jc w:val="left"/>
            </w:pPr>
            <w:r>
              <w:t xml:space="preserve">06</w:t>
            </w:r>
          </w:p>
        </w:tc>
        <w:tc>
          <w:tcPr/>
          <w:p>
            <w:pPr>
              <w:pStyle w:val="Compact"/>
              <w:jc w:val="left"/>
            </w:pPr>
            <w:r>
              <w:t xml:space="preserve">Technical training workshop for the Buyer's in-house engineering team in Israel Tel Aviv (2-day intensive on advanced well completion design)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left"/>
            </w:pPr>
            <w:r>
              <w:t xml:space="preserve">Subtotal</w:t>
            </w:r>
          </w:p>
        </w:tc>
        <w:tc>
          <w:tcPr/>
          <w:p>
            <w:pPr>
              <w:pStyle w:val="Compact"/>
              <w:jc w:val="left"/>
            </w:pPr>
            <w:r>
              <w:t xml:space="preserve">1,826,800</w:t>
            </w:r>
          </w:p>
        </w:tc>
      </w:tr>
      <w:tr>
        <w:tc>
          <w:tcPr>
            <w:gridSpan w:val="5"/>
          </w:tcPr>
          <w:p>
            <w:pPr>
              <w:pStyle w:val="Compact"/>
              <w:jc w:val="left"/>
            </w:pPr>
            <w:r>
              <w:t xml:space="preserve">VAT (18%)</w:t>
            </w:r>
          </w:p>
        </w:tc>
        <w:tc>
          <w:tcPr/>
          <w:p>
            <w:pPr>
              <w:pStyle w:val="Compact"/>
              <w:jc w:val="left"/>
            </w:pPr>
            <w:r>
              <w:t xml:space="preserve">328,824</w:t>
            </w:r>
          </w:p>
        </w:tc>
      </w:tr>
      <w:tr>
        <w:tc>
          <w:tcPr>
            <w:gridSpan w:val="5"/>
          </w:tcPr>
          <w:p>
            <w:pPr>
              <w:pStyle w:val="Compact"/>
              <w:jc w:val="left"/>
            </w:pPr>
            <w:r>
              <w:rPr>
                <w:bCs/>
                <w:b/>
              </w:rPr>
              <w:t xml:space="preserve">Grand Total (ILS)</w:t>
            </w:r>
          </w:p>
        </w:tc>
        <w:tc>
          <w:tcPr/>
          <w:p>
            <w:pPr>
              <w:pStyle w:val="Compact"/>
              <w:jc w:val="left"/>
            </w:pPr>
            <w:r>
              <w:rPr>
                <w:bCs/>
                <w:b/>
              </w:rPr>
              <w:t xml:space="preserve">2,155,624</w:t>
            </w:r>
          </w:p>
        </w:tc>
      </w:tr>
    </w:tbl>
    <w:bookmarkEnd w:id="22"/>
    <w:bookmarkStart w:id="23" w:name="payment-terms"/>
    <w:p>
      <w:pPr>
        <w:pStyle w:val="Heading2"/>
      </w:pPr>
      <w:r>
        <w:t xml:space="preserve">4. Payment Terms</w:t>
      </w:r>
    </w:p>
    <w:p>
      <w:pPr>
        <w:pStyle w:val="FirstParagraph"/>
      </w:pPr>
      <w:r>
        <w:t xml:space="preserve">All payments under this Purchase Order shall be made in New Israeli Shekels (ILS) via bank transfer to the Supplier's designated account. The Buyer shall remit payment within thirty (30) calendar days from the date of receipt of a valid tax invoice (Chov Shitach) issued by the Supplier. For the monthly retainer (Item 01), invoices shall be submitted on the first business day of each month for the preceding service period. For one-time deliverables (Items 02, 04, and 06), payment shall be due upon written acceptance of the deliverable by the Buyer's Chief Technical Officer. Late payments shall accrue interest at the rate prescribed by the Israeli Late Payment Law (Chok HaRishui Al Toldot Achariut), currently 1.5% per month.</w:t>
      </w:r>
    </w:p>
    <w:bookmarkEnd w:id="23"/>
    <w:bookmarkStart w:id="24"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Project kickoff meeting and Petroleum Engineer onboarding</w:t>
            </w:r>
          </w:p>
        </w:tc>
        <w:tc>
          <w:tcPr/>
          <w:p>
            <w:pPr>
              <w:pStyle w:val="Compact"/>
              <w:jc w:val="left"/>
            </w:pPr>
            <w:r>
              <w:t xml:space="preserve">20 June 2025</w:t>
            </w:r>
          </w:p>
        </w:tc>
        <w:tc>
          <w:tcPr/>
          <w:p>
            <w:pPr>
              <w:pStyle w:val="Compact"/>
              <w:jc w:val="left"/>
            </w:pPr>
            <w:r>
              <w:t xml:space="preserve">Buyer's HQ, Tel Aviv-Yafo, Israel</w:t>
            </w:r>
          </w:p>
        </w:tc>
      </w:tr>
      <w:tr>
        <w:tc>
          <w:tcPr/>
          <w:p>
            <w:pPr>
              <w:pStyle w:val="Compact"/>
              <w:jc w:val="left"/>
            </w:pPr>
            <w:r>
              <w:t xml:space="preserve">First monthly retainer period complete</w:t>
            </w:r>
          </w:p>
        </w:tc>
        <w:tc>
          <w:tcPr/>
          <w:p>
            <w:pPr>
              <w:pStyle w:val="Compact"/>
              <w:jc w:val="left"/>
            </w:pPr>
            <w:r>
              <w:t xml:space="preserve">30 June 2025</w:t>
            </w:r>
          </w:p>
        </w:tc>
        <w:tc>
          <w:tcPr/>
          <w:p>
            <w:pPr>
              <w:pStyle w:val="Compact"/>
              <w:jc w:val="left"/>
            </w:pPr>
            <w:r>
              <w:t xml:space="preserve">Israel Tel Aviv</w:t>
            </w:r>
          </w:p>
        </w:tc>
      </w:tr>
      <w:tr>
        <w:tc>
          <w:tcPr/>
          <w:p>
            <w:pPr>
              <w:pStyle w:val="Compact"/>
              <w:jc w:val="left"/>
            </w:pPr>
            <w:r>
              <w:t xml:space="preserve">Reservoir Performance Report (Item 02) delivered</w:t>
            </w:r>
          </w:p>
        </w:tc>
        <w:tc>
          <w:tcPr/>
          <w:p>
            <w:pPr>
              <w:pStyle w:val="Compact"/>
              <w:jc w:val="left"/>
            </w:pPr>
            <w:r>
              <w:t xml:space="preserve">15 August 2025</w:t>
            </w:r>
          </w:p>
        </w:tc>
        <w:tc>
          <w:tcPr/>
          <w:p>
            <w:pPr>
              <w:pStyle w:val="Compact"/>
              <w:jc w:val="left"/>
            </w:pPr>
            <w:r>
              <w:t xml:space="preserve">Israel Tel Aviv</w:t>
            </w:r>
          </w:p>
        </w:tc>
      </w:tr>
      <w:tr>
        <w:tc>
          <w:tcPr/>
          <w:p>
            <w:pPr>
              <w:pStyle w:val="Compact"/>
              <w:jc w:val="left"/>
            </w:pPr>
            <w:r>
              <w:t xml:space="preserve">Production Optimization Plan (Item 04) delivered</w:t>
            </w:r>
          </w:p>
        </w:tc>
        <w:tc>
          <w:tcPr/>
          <w:p>
            <w:pPr>
              <w:pStyle w:val="Compact"/>
              <w:jc w:val="left"/>
            </w:pPr>
            <w:r>
              <w:t xml:space="preserve">30 September 2025</w:t>
            </w:r>
          </w:p>
        </w:tc>
        <w:tc>
          <w:tcPr/>
          <w:p>
            <w:pPr>
              <w:pStyle w:val="Compact"/>
              <w:jc w:val="left"/>
            </w:pPr>
            <w:r>
              <w:t xml:space="preserve">Israel Tel Aviv</w:t>
            </w:r>
          </w:p>
        </w:tc>
      </w:tr>
      <w:tr>
        <w:tc>
          <w:tcPr/>
          <w:p>
            <w:pPr>
              <w:pStyle w:val="Compact"/>
              <w:jc w:val="left"/>
            </w:pPr>
            <w:r>
              <w:t xml:space="preserve">Training workshop (Item 06) conducted</w:t>
            </w:r>
          </w:p>
        </w:tc>
        <w:tc>
          <w:tcPr/>
          <w:p>
            <w:pPr>
              <w:pStyle w:val="Compact"/>
              <w:jc w:val="left"/>
            </w:pPr>
            <w:r>
              <w:t xml:space="preserve">10 October 2025</w:t>
            </w:r>
          </w:p>
        </w:tc>
        <w:tc>
          <w:tcPr/>
          <w:p>
            <w:pPr>
              <w:pStyle w:val="Compact"/>
              <w:jc w:val="left"/>
            </w:pPr>
            <w:r>
              <w:t xml:space="preserve">Buyer's HQ, Tel Aviv-Yafo, Israel</w:t>
            </w:r>
          </w:p>
        </w:tc>
      </w:tr>
      <w:tr>
        <w:tc>
          <w:tcPr/>
          <w:p>
            <w:pPr>
              <w:pStyle w:val="Compact"/>
              <w:jc w:val="left"/>
            </w:pPr>
            <w:r>
              <w:t xml:space="preserve">Final contract period ends</w:t>
            </w:r>
          </w:p>
        </w:tc>
        <w:tc>
          <w:tcPr/>
          <w:p>
            <w:pPr>
              <w:pStyle w:val="Compact"/>
              <w:jc w:val="left"/>
            </w:pPr>
            <w:r>
              <w:t xml:space="preserve">19 December 2025</w:t>
            </w:r>
          </w:p>
        </w:tc>
        <w:tc>
          <w:tcPr/>
          <w:p>
            <w:pPr>
              <w:pStyle w:val="Compact"/>
              <w:jc w:val="left"/>
            </w:pPr>
            <w:r>
              <w:t xml:space="preserve">Israel Tel Aviv</w:t>
            </w:r>
          </w:p>
        </w:tc>
      </w:tr>
    </w:tbl>
    <w:bookmarkEnd w:id="24"/>
    <w:bookmarkStart w:id="25" w:name="terms-and-conditions"/>
    <w:p>
      <w:pPr>
        <w:pStyle w:val="Heading2"/>
      </w:pPr>
      <w:r>
        <w:t xml:space="preserve">6. Terms and Conditions</w:t>
      </w:r>
    </w:p>
    <w:p>
      <w:pPr>
        <w:pStyle w:val="FirstParagraph"/>
      </w:pPr>
      <w:r>
        <w:t xml:space="preserve">6.1 This Purchase Order is governed by and shall be construed in accordance with the laws of the State of Israel. Any disputes arising from or in connection with this Purchase Order shall be subject to the exclusive jurisdiction of the competent courts in Tel Aviv-Yafo, Israel.</w:t>
      </w:r>
    </w:p>
    <w:p>
      <w:pPr>
        <w:pStyle w:val="BodyText"/>
      </w:pPr>
      <w:r>
        <w:t xml:space="preserve">6.2 The Petroleum Engineer engaged under this Purchase Order shall comply with all applicable regulations of the Israel Energy, Water and National Infrastructure Ministry, the Israel Occupational Safety and Health Authority, and all environmental standards set forth by the Israel Nature and Parks Authority for offshore operations.</w:t>
      </w:r>
    </w:p>
    <w:p>
      <w:pPr>
        <w:pStyle w:val="BodyText"/>
      </w:pPr>
      <w:r>
        <w:t xml:space="preserve">6.3 The Supplier warrants that the Petroleum Engineer shall maintain all professional liability insurance with a minimum coverage of ILS 5,000,000 per occurrence and shall provide a certificate of insurance to the Buyer prior to commencing work.</w:t>
      </w:r>
    </w:p>
    <w:p>
      <w:pPr>
        <w:pStyle w:val="BodyText"/>
      </w:pPr>
      <w:r>
        <w:t xml:space="preserve">6.4 All data, models, reports, and intellectual property generated by the Petroleum Engineer in the course of performing services under this Purchase Order shall be the sole and exclusive property of the Buyer. The Supplier and the Petroleum Engineer shall execute a non-disclosure agreement (NDA) in accordance with the Israeli Privacy Protection Law, 5741-1981, prior to accessing any confidential operational data.</w:t>
      </w:r>
    </w:p>
    <w:p>
      <w:pPr>
        <w:pStyle w:val="BodyText"/>
      </w:pPr>
      <w:r>
        <w:t xml:space="preserve">6.5 The Buyer reserves the right to terminate this Purchase Order with thirty (30) days' written notice in the event of material breach by the Supplier, including but not limited to failure to meet performance milestones, loss of professional registration, or violation of Israeli regulatory requirements.</w:t>
      </w:r>
    </w:p>
    <w:p>
      <w:pPr>
        <w:pStyle w:val="BodyText"/>
      </w:pPr>
      <w:r>
        <w:t xml:space="preserve">6.6 Force majeure events, including but not limited to acts of war, terrorism, or government-imposed restrictions affecting operations in Israel Tel Aviv or the broader region, shall suspend performance obligations for the duration of the event without penalty to either party.</w:t>
      </w:r>
    </w:p>
    <w:bookmarkEnd w:id="25"/>
    <w:bookmarkStart w:id="26" w:name="acceptance-and-authorization"/>
    <w:p>
      <w:pPr>
        <w:pStyle w:val="Heading2"/>
      </w:pPr>
      <w:r>
        <w:t xml:space="preserve">7. Acceptance and Authorization</w:t>
      </w:r>
    </w:p>
    <w:p>
      <w:pPr>
        <w:pStyle w:val="FirstParagraph"/>
      </w:pPr>
      <w:r>
        <w:t xml:space="preserve">This Purchase Order becomes binding upon signature by both parties. The Supplier acknowledges receipt of this Purchase Order and confirms acceptance of all terms, conditions, pricing, and deliverables outlined herein. The Supplier further confirms that the Petroleum Engineer to be assigned meets all qualifications specified in Section 2 and is available for the full contract duration.</w:t>
      </w:r>
    </w:p>
    <w:p>
      <w:pPr>
        <w:pStyle w:val="BodyText"/>
      </w:pPr>
      <w:r>
        <w:rPr>
          <w:bCs/>
          <w:b/>
        </w:rPr>
        <w:t xml:space="preserve">For and on behalf of the Buyer:</w:t>
      </w:r>
    </w:p>
    <w:p>
      <w:pPr>
        <w:pStyle w:val="BodyText"/>
      </w:pPr>
      <w:r>
        <w:t xml:space="preserve">MedEast Energy Solutions Ltd.</w:t>
      </w:r>
    </w:p>
    <w:p>
      <w:pPr>
        <w:pStyle w:val="BodyText"/>
      </w:pPr>
      <w:r>
        <w:t xml:space="preserve">Name: Mr. David Levi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DeepWell Petroleum Consulting Group Ltd.</w:t>
      </w:r>
    </w:p>
    <w:p>
      <w:pPr>
        <w:pStyle w:val="BodyText"/>
      </w:pPr>
      <w:r>
        <w:t xml:space="preserve">Name: Dr. Yael Ben-Ami</w:t>
      </w:r>
    </w:p>
    <w:p>
      <w:pPr>
        <w:pStyle w:val="BodyText"/>
      </w:pPr>
      <w:r>
        <w:t xml:space="preserve">Title: Director of Engineering Services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(PO-IL-TLV-2025-04872) was prepared and issued in Tel Aviv-Yafo, Israel. All references to "Israel Tel Aviv" in this document denote the city of Tel Aviv-Yafo and its metropolitan area within the State of Israel. This document is valid only when bearing the original wet-ink signatures of both authorized representatives. Electronic copies are for reference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Israel Tel Aviv</dc:title>
  <dc:creator/>
  <dc:language>en</dc:language>
  <cp:keywords/>
  <dcterms:created xsi:type="dcterms:W3CDTF">2026-10-10T06:55:06Z</dcterms:created>
  <dcterms:modified xsi:type="dcterms:W3CDTF">2026-10-10T06:55:06Z</dcterms:modified>
</cp:coreProperties>
</file>

<file path=docProps/custom.xml><?xml version="1.0" encoding="utf-8"?>
<Properties xmlns="http://schemas.openxmlformats.org/officeDocument/2006/custom-properties" xmlns:vt="http://schemas.openxmlformats.org/officeDocument/2006/docPropsVTypes"/>
</file>