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Professional Services Procurement — Petroleum Engineering Division</w:t>
      </w:r>
    </w:p>
    <w:bookmarkEnd w:id="20"/>
    <w:p>
      <w:pPr>
        <w:pStyle w:val="BodyText"/>
      </w:pPr>
      <w:r>
        <w:rPr>
          <w:bCs/>
          <w:b/>
        </w:rPr>
        <w:t xml:space="preserve">Purchase Order No.:</w:t>
      </w:r>
      <w:r>
        <w:t xml:space="preserve"> </w:t>
      </w:r>
      <w:r>
        <w:t xml:space="preserve">PO-2025-MIA-PE-0472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Service Location:</w:t>
      </w:r>
      <w:r>
        <w:t xml:space="preserve"> </w:t>
      </w:r>
      <w:r>
        <w:t xml:space="preserve">United States Miami</w:t>
      </w:r>
      <w:r>
        <w:br/>
      </w:r>
      <w:r>
        <w:rPr>
          <w:bCs/>
          <w:b/>
        </w:rPr>
        <w:t xml:space="preserve">Department:</w:t>
      </w:r>
      <w:r>
        <w:t xml:space="preserve"> </w:t>
      </w:r>
      <w:r>
        <w:t xml:space="preserve">Upstream Operations — Gulf Coast Region</w:t>
      </w:r>
      <w:r>
        <w:br/>
      </w:r>
      <w:r>
        <w:rPr>
          <w:bCs/>
          <w:b/>
        </w:rPr>
        <w:t xml:space="preserve">Priority:</w:t>
      </w:r>
      <w:r>
        <w:t xml:space="preserve"> </w:t>
      </w:r>
      <w:r>
        <w:t xml:space="preserve">High</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Atlantic Basin Energy Partners, LLC</w:t>
            </w:r>
          </w:p>
        </w:tc>
      </w:tr>
      <w:tr>
        <w:tc>
          <w:tcPr/>
          <w:p>
            <w:pPr>
              <w:pStyle w:val="Compact"/>
              <w:jc w:val="left"/>
            </w:pPr>
            <w:r>
              <w:rPr>
                <w:bCs/>
                <w:b/>
              </w:rPr>
              <w:t xml:space="preserve">Address:</w:t>
            </w:r>
          </w:p>
        </w:tc>
        <w:tc>
          <w:tcPr/>
          <w:p>
            <w:pPr>
              <w:pStyle w:val="Compact"/>
              <w:jc w:val="left"/>
            </w:pPr>
            <w:r>
              <w:t xml:space="preserve">3401 Biscayne Boulevard, Suite 2100, Miami, Florida 33137, United States Miami</w:t>
            </w:r>
          </w:p>
        </w:tc>
      </w:tr>
      <w:tr>
        <w:tc>
          <w:tcPr/>
          <w:p>
            <w:pPr>
              <w:pStyle w:val="Compact"/>
              <w:jc w:val="left"/>
            </w:pPr>
            <w:r>
              <w:rPr>
                <w:bCs/>
                <w:b/>
              </w:rPr>
              <w:t xml:space="preserve">Contact Person:</w:t>
            </w:r>
          </w:p>
        </w:tc>
        <w:tc>
          <w:tcPr/>
          <w:p>
            <w:pPr>
              <w:pStyle w:val="Compact"/>
              <w:jc w:val="left"/>
            </w:pPr>
            <w:r>
              <w:t xml:space="preserve">Ms. Elena Vasquez, Director of Procurement</w:t>
            </w:r>
          </w:p>
        </w:tc>
      </w:tr>
      <w:tr>
        <w:tc>
          <w:tcPr/>
          <w:p>
            <w:pPr>
              <w:pStyle w:val="Compact"/>
              <w:jc w:val="left"/>
            </w:pPr>
            <w:r>
              <w:rPr>
                <w:bCs/>
                <w:b/>
              </w:rPr>
              <w:t xml:space="preserve">Email:</w:t>
            </w:r>
          </w:p>
        </w:tc>
        <w:tc>
          <w:tcPr/>
          <w:p>
            <w:pPr>
              <w:pStyle w:val="Compact"/>
              <w:jc w:val="left"/>
            </w:pPr>
            <w:r>
              <w:t xml:space="preserve">e.vasquez@atlanticbasinenergy.com</w:t>
            </w:r>
          </w:p>
        </w:tc>
      </w:tr>
      <w:tr>
        <w:tc>
          <w:tcPr/>
          <w:p>
            <w:pPr>
              <w:pStyle w:val="Compact"/>
              <w:jc w:val="left"/>
            </w:pPr>
            <w:r>
              <w:rPr>
                <w:bCs/>
                <w:b/>
              </w:rPr>
              <w:t xml:space="preserve">Phone:</w:t>
            </w:r>
          </w:p>
        </w:tc>
        <w:tc>
          <w:tcPr/>
          <w:p>
            <w:pPr>
              <w:pStyle w:val="Compact"/>
              <w:jc w:val="left"/>
            </w:pPr>
            <w:r>
              <w:t xml:space="preserve">+1 (305) 555-0182</w:t>
            </w:r>
          </w:p>
        </w:tc>
      </w:tr>
      <w:tr>
        <w:tc>
          <w:tcPr/>
          <w:p>
            <w:pPr>
              <w:pStyle w:val="Compact"/>
              <w:jc w:val="left"/>
            </w:pPr>
            <w:r>
              <w:rPr>
                <w:bCs/>
                <w:b/>
              </w:rPr>
              <w:t xml:space="preserve">Tax ID (EIN):</w:t>
            </w:r>
          </w:p>
        </w:tc>
        <w:tc>
          <w:tcPr/>
          <w:p>
            <w:pPr>
              <w:pStyle w:val="Compact"/>
              <w:jc w:val="left"/>
            </w:pPr>
            <w:r>
              <w:t xml:space="preserve">82-4471903</w:t>
            </w:r>
          </w:p>
        </w:tc>
      </w:tr>
    </w:tbl>
    <w:bookmarkEnd w:id="21"/>
    <w:bookmarkStart w:id="22" w:name="seller-service-provider-information"/>
    <w:p>
      <w:pPr>
        <w:pStyle w:val="Heading2"/>
      </w:pPr>
      <w:r>
        <w:t xml:space="preserve">2. 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Deepwater Technical Consulting Group, Inc.</w:t>
            </w:r>
          </w:p>
        </w:tc>
      </w:tr>
      <w:tr>
        <w:tc>
          <w:tcPr/>
          <w:p>
            <w:pPr>
              <w:pStyle w:val="Compact"/>
              <w:jc w:val="left"/>
            </w:pPr>
            <w:r>
              <w:rPr>
                <w:bCs/>
                <w:b/>
              </w:rPr>
              <w:t xml:space="preserve">Address:</w:t>
            </w:r>
          </w:p>
        </w:tc>
        <w:tc>
          <w:tcPr/>
          <w:p>
            <w:pPr>
              <w:pStyle w:val="Compact"/>
              <w:jc w:val="left"/>
            </w:pPr>
            <w:r>
              <w:t xml:space="preserve">1200 Brickell Avenue, Floor 14, Miami, Florida 33131, United States Miami</w:t>
            </w:r>
          </w:p>
        </w:tc>
      </w:tr>
      <w:tr>
        <w:tc>
          <w:tcPr/>
          <w:p>
            <w:pPr>
              <w:pStyle w:val="Compact"/>
              <w:jc w:val="left"/>
            </w:pPr>
            <w:r>
              <w:rPr>
                <w:bCs/>
                <w:b/>
              </w:rPr>
              <w:t xml:space="preserve">Contact Person:</w:t>
            </w:r>
          </w:p>
        </w:tc>
        <w:tc>
          <w:tcPr/>
          <w:p>
            <w:pPr>
              <w:pStyle w:val="Compact"/>
              <w:jc w:val="left"/>
            </w:pPr>
            <w:r>
              <w:t xml:space="preserve">Mr. David Okafor, Senior Petroleum Engineer &amp; Principal Consultant</w:t>
            </w:r>
          </w:p>
        </w:tc>
      </w:tr>
      <w:tr>
        <w:tc>
          <w:tcPr/>
          <w:p>
            <w:pPr>
              <w:pStyle w:val="Compact"/>
              <w:jc w:val="left"/>
            </w:pPr>
            <w:r>
              <w:rPr>
                <w:bCs/>
                <w:b/>
              </w:rPr>
              <w:t xml:space="preserve">Email:</w:t>
            </w:r>
          </w:p>
        </w:tc>
        <w:tc>
          <w:tcPr/>
          <w:p>
            <w:pPr>
              <w:pStyle w:val="Compact"/>
              <w:jc w:val="left"/>
            </w:pPr>
            <w:r>
              <w:t xml:space="preserve">d.okafor@deepwatertech.com</w:t>
            </w:r>
          </w:p>
        </w:tc>
      </w:tr>
      <w:tr>
        <w:tc>
          <w:tcPr/>
          <w:p>
            <w:pPr>
              <w:pStyle w:val="Compact"/>
              <w:jc w:val="left"/>
            </w:pPr>
            <w:r>
              <w:rPr>
                <w:bCs/>
                <w:b/>
              </w:rPr>
              <w:t xml:space="preserve">Phone:</w:t>
            </w:r>
          </w:p>
        </w:tc>
        <w:tc>
          <w:tcPr/>
          <w:p>
            <w:pPr>
              <w:pStyle w:val="Compact"/>
              <w:jc w:val="left"/>
            </w:pPr>
            <w:r>
              <w:t xml:space="preserve">+1 (305) 555-0347</w:t>
            </w:r>
          </w:p>
        </w:tc>
      </w:tr>
      <w:tr>
        <w:tc>
          <w:tcPr/>
          <w:p>
            <w:pPr>
              <w:pStyle w:val="Compact"/>
              <w:jc w:val="left"/>
            </w:pPr>
            <w:r>
              <w:rPr>
                <w:bCs/>
                <w:b/>
              </w:rPr>
              <w:t xml:space="preserve">Tax ID (EIN):</w:t>
            </w:r>
          </w:p>
        </w:tc>
        <w:tc>
          <w:tcPr/>
          <w:p>
            <w:pPr>
              <w:pStyle w:val="Compact"/>
              <w:jc w:val="left"/>
            </w:pPr>
            <w:r>
              <w:t xml:space="preserve">59-8823417</w:t>
            </w:r>
          </w:p>
        </w:tc>
      </w:tr>
    </w:tbl>
    <w:bookmarkEnd w:id="22"/>
    <w:bookmarkStart w:id="23" w:name="Xf8b1d6752637adc72f15db30d160f47bfa1f0eb"/>
    <w:p>
      <w:pPr>
        <w:pStyle w:val="Heading2"/>
      </w:pPr>
      <w:r>
        <w:t xml:space="preserve">3. Scope of Services — Petroleum Engineer Engagement</w:t>
      </w:r>
    </w:p>
    <w:p>
      <w:pPr>
        <w:pStyle w:val="FirstParagraph"/>
      </w:pPr>
      <w:r>
        <w:t xml:space="preserve">This Purchase Order authorizes the procurement of specialized professional services rendered by a qualified</w:t>
      </w:r>
      <w:r>
        <w:t xml:space="preserve"> </w:t>
      </w:r>
      <w:r>
        <w:t xml:space="preserve">Petroleum Engineer</w:t>
      </w:r>
      <w:r>
        <w:t xml:space="preserve"> </w:t>
      </w:r>
      <w:r>
        <w:t xml:space="preserve">to support the Buyer's offshore and onshore hydrocarbon exploration and production operations in the United States Miami metropolitan area and the adjacent Gulf of Mexico basin. The</w:t>
      </w:r>
      <w:r>
        <w:t xml:space="preserve"> </w:t>
      </w:r>
      <w:r>
        <w:t xml:space="preserve">Petroleum Engineer</w:t>
      </w:r>
      <w:r>
        <w:t xml:space="preserve"> </w:t>
      </w:r>
      <w:r>
        <w:t xml:space="preserve">shall provide reservoir modeling, well optimization analysis, production forecasting, and technical due diligence in accordance with the specifications outlined below. All deliverables must comply with American Petroleum Institute (API) standards, Society of Petroleum Engineers (SPE) guidelines, and applicable Florida state and federal regulatory requirements governing petroleum operations in the United States Miami jurisdiction.</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Reservoir characterization and volumetric analysis by senior Petroleum Engineer for Block 7-C, Gulf of Mexico</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Well completion optimization and production decline curve analysis (12 wells) — Petroleum Engineer on-site in United States Miami</w:t>
            </w:r>
          </w:p>
        </w:tc>
        <w:tc>
          <w:tcPr/>
          <w:p>
            <w:pPr>
              <w:pStyle w:val="Compact"/>
              <w:jc w:val="left"/>
            </w:pPr>
            <w:r>
              <w:t xml:space="preserve">12</w:t>
            </w:r>
          </w:p>
        </w:tc>
        <w:tc>
          <w:tcPr/>
          <w:p>
            <w:pPr>
              <w:pStyle w:val="Compact"/>
              <w:jc w:val="left"/>
            </w:pPr>
            <w:r>
              <w:t xml:space="preserve">Wells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003</w:t>
            </w:r>
          </w:p>
        </w:tc>
        <w:tc>
          <w:tcPr/>
          <w:p>
            <w:pPr>
              <w:pStyle w:val="Compact"/>
              <w:jc w:val="left"/>
            </w:pPr>
            <w:r>
              <w:t xml:space="preserve">Technical due diligence report for prospective acquisition of onshore leasehold, Dade County, United States Miami region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004</w:t>
            </w:r>
          </w:p>
        </w:tc>
        <w:tc>
          <w:tcPr/>
          <w:p>
            <w:pPr>
              <w:pStyle w:val="Compact"/>
              <w:jc w:val="left"/>
            </w:pPr>
            <w:r>
              <w:t xml:space="preserve">Monthly Petroleum Engineer technical advisory and operational oversight (Q3 2025)</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005</w:t>
            </w:r>
          </w:p>
        </w:tc>
        <w:tc>
          <w:tcPr/>
          <w:p>
            <w:pPr>
              <w:pStyle w:val="Compact"/>
              <w:jc w:val="left"/>
            </w:pPr>
            <w:r>
              <w:t xml:space="preserve">Hydraulic fracturing design review and proppant selection consultation — Petroleum Engineer specialist</w:t>
            </w:r>
          </w:p>
        </w:tc>
        <w:tc>
          <w:tcPr/>
          <w:p>
            <w:pPr>
              <w:pStyle w:val="Compact"/>
              <w:jc w:val="left"/>
            </w:pPr>
            <w:r>
              <w:t xml:space="preserve">1</w:t>
            </w:r>
          </w:p>
        </w:tc>
        <w:tc>
          <w:tcPr/>
          <w:p>
            <w:pPr>
              <w:pStyle w:val="Compact"/>
              <w:jc w:val="left"/>
            </w:pPr>
            <w:r>
              <w:t xml:space="preserve">Consultation</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006</w:t>
            </w:r>
          </w:p>
        </w:tc>
        <w:tc>
          <w:tcPr/>
          <w:p>
            <w:pPr>
              <w:pStyle w:val="Compact"/>
              <w:jc w:val="left"/>
            </w:pPr>
            <w:r>
              <w:t xml:space="preserve">Environmental compliance assessment for petroleum operations in United States Miami coastal zone</w:t>
            </w:r>
          </w:p>
        </w:tc>
        <w:tc>
          <w:tcPr/>
          <w:p>
            <w:pPr>
              <w:pStyle w:val="Compact"/>
              <w:jc w:val="left"/>
            </w:pPr>
            <w:r>
              <w:t xml:space="preserve">1</w:t>
            </w:r>
          </w:p>
        </w:tc>
        <w:tc>
          <w:tcPr/>
          <w:p>
            <w:pPr>
              <w:pStyle w:val="Compact"/>
              <w:jc w:val="left"/>
            </w:pPr>
            <w:r>
              <w:t xml:space="preserve">Assessment</w:t>
            </w:r>
          </w:p>
        </w:tc>
        <w:tc>
          <w:tcPr/>
          <w:p>
            <w:pPr>
              <w:pStyle w:val="Compact"/>
              <w:jc w:val="left"/>
            </w:pPr>
            <w:r>
              <w:t xml:space="preserve">$15,350.00</w:t>
            </w:r>
          </w:p>
        </w:tc>
        <w:tc>
          <w:tcPr/>
          <w:p>
            <w:pPr>
              <w:pStyle w:val="Compact"/>
              <w:jc w:val="left"/>
            </w:pPr>
            <w:r>
              <w:t xml:space="preserve">$15,350.00</w:t>
            </w:r>
          </w:p>
        </w:tc>
      </w:tr>
      <w:tr>
        <w:tc>
          <w:tcPr>
            <w:gridSpan w:val="5"/>
          </w:tcPr>
          <w:p>
            <w:pPr>
              <w:pStyle w:val="Compact"/>
              <w:jc w:val="right"/>
            </w:pPr>
            <w:r>
              <w:t xml:space="preserve">Subtotal:</w:t>
            </w:r>
          </w:p>
        </w:tc>
        <w:tc>
          <w:tcPr/>
          <w:p>
            <w:pPr>
              <w:pStyle w:val="Compact"/>
              <w:jc w:val="left"/>
            </w:pPr>
            <w:r>
              <w:t xml:space="preserve">$170,900.00</w:t>
            </w:r>
          </w:p>
        </w:tc>
      </w:tr>
      <w:tr>
        <w:tc>
          <w:tcPr>
            <w:gridSpan w:val="5"/>
          </w:tcPr>
          <w:p>
            <w:pPr>
              <w:pStyle w:val="Compact"/>
              <w:jc w:val="right"/>
            </w:pPr>
            <w:r>
              <w:t xml:space="preserve">Applicable Florida Sales Tax (7%):</w:t>
            </w:r>
          </w:p>
        </w:tc>
        <w:tc>
          <w:tcPr/>
          <w:p>
            <w:pPr>
              <w:pStyle w:val="Compact"/>
              <w:jc w:val="left"/>
            </w:pPr>
            <w:r>
              <w:t xml:space="preserve">$11,963.00</w:t>
            </w:r>
          </w:p>
        </w:tc>
      </w:tr>
      <w:tr>
        <w:tc>
          <w:tcPr>
            <w:gridSpan w:val="5"/>
          </w:tcPr>
          <w:p>
            <w:pPr>
              <w:pStyle w:val="Compact"/>
              <w:jc w:val="right"/>
            </w:pPr>
            <w:r>
              <w:rPr>
                <w:bCs/>
                <w:b/>
              </w:rPr>
              <w:t xml:space="preserve">Grand Total (USD):</w:t>
            </w:r>
          </w:p>
        </w:tc>
        <w:tc>
          <w:tcPr/>
          <w:p>
            <w:pPr>
              <w:pStyle w:val="Compact"/>
              <w:jc w:val="left"/>
            </w:pPr>
            <w:r>
              <w:rPr>
                <w:bCs/>
                <w:b/>
              </w:rPr>
              <w:t xml:space="preserve">$182,863.00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offer. The Seller's acceptance of this Purchase Order shall be confirmed in writing within five (5) business days of the date of issue. Failure to respond within this period shall render this Purchase Order null and void.</w:t>
      </w:r>
    </w:p>
    <w:p>
      <w:pPr>
        <w:numPr>
          <w:ilvl w:val="0"/>
          <w:numId w:val="1001"/>
        </w:numPr>
        <w:pStyle w:val="Compact"/>
      </w:pPr>
      <w:r>
        <w:rPr>
          <w:bCs/>
          <w:b/>
        </w:rPr>
        <w:t xml:space="preserve">Performance Period:</w:t>
      </w:r>
      <w:r>
        <w:t xml:space="preserve"> </w:t>
      </w:r>
      <w:r>
        <w:t xml:space="preserve">All services described herein shall be performed commencing July 1, 2025, and shall be completed no later than December 15, 2025. The</w:t>
      </w:r>
      <w:r>
        <w:t xml:space="preserve"> </w:t>
      </w:r>
      <w:r>
        <w:t xml:space="preserve">Petroleum Engineer</w:t>
      </w:r>
      <w:r>
        <w:t xml:space="preserve"> </w:t>
      </w:r>
      <w:r>
        <w:t xml:space="preserve">assigned to this engagement must maintain valid professional licensure in the State of Florida throughout the duration of the contract.</w:t>
      </w:r>
    </w:p>
    <w:p>
      <w:pPr>
        <w:numPr>
          <w:ilvl w:val="0"/>
          <w:numId w:val="1001"/>
        </w:numPr>
        <w:pStyle w:val="Compact"/>
      </w:pPr>
      <w:r>
        <w:rPr>
          <w:bCs/>
          <w:b/>
        </w:rPr>
        <w:t xml:space="preserve">Payment Terms:</w:t>
      </w:r>
      <w:r>
        <w:t xml:space="preserve"> </w:t>
      </w:r>
      <w:r>
        <w:t xml:space="preserve">Net 30 days from receipt of a valid invoice. Payment shall be made via wire transfer to the account designated by the Seller. Invoices must reference this Purchase Order number (PO-2025-MIA-PE-0472) for processing.</w:t>
      </w:r>
    </w:p>
    <w:p>
      <w:pPr>
        <w:numPr>
          <w:ilvl w:val="0"/>
          <w:numId w:val="1001"/>
        </w:numPr>
        <w:pStyle w:val="Compact"/>
      </w:pPr>
      <w:r>
        <w:rPr>
          <w:bCs/>
          <w:b/>
        </w:rPr>
        <w:t xml:space="preserve">Service Location:</w:t>
      </w:r>
      <w:r>
        <w:t xml:space="preserve"> </w:t>
      </w:r>
      <w:r>
        <w:t xml:space="preserve">All on-site services, meetings, and deliverable presentations shall take place at the Buyer's principal office located in United States Miami, Florida, or at such other locations within the United States Miami metropolitan area as mutually agreed upon in writing.</w:t>
      </w:r>
    </w:p>
    <w:p>
      <w:pPr>
        <w:numPr>
          <w:ilvl w:val="0"/>
          <w:numId w:val="1001"/>
        </w:numPr>
        <w:pStyle w:val="Compact"/>
      </w:pPr>
      <w:r>
        <w:rPr>
          <w:bCs/>
          <w:b/>
        </w:rPr>
        <w:t xml:space="preserve">Confidentiality:</w:t>
      </w:r>
      <w:r>
        <w:t xml:space="preserve"> </w:t>
      </w:r>
      <w:r>
        <w:t xml:space="preserve">The</w:t>
      </w:r>
      <w:r>
        <w:t xml:space="preserve"> </w:t>
      </w:r>
      <w:r>
        <w:t xml:space="preserve">Petroleum Engineer</w:t>
      </w:r>
      <w:r>
        <w:t xml:space="preserve"> </w:t>
      </w:r>
      <w:r>
        <w:t xml:space="preserve">and all personnel under their supervision shall treat all subsurface data, well logs, production figures, and proprietary information as strictly confidential. This obligation survives termination of this Purchase Order for a period of five (5) years.</w:t>
      </w:r>
    </w:p>
    <w:p>
      <w:pPr>
        <w:numPr>
          <w:ilvl w:val="0"/>
          <w:numId w:val="1001"/>
        </w:numPr>
        <w:pStyle w:val="Compact"/>
      </w:pPr>
      <w:r>
        <w:rPr>
          <w:bCs/>
          <w:b/>
        </w:rPr>
        <w:t xml:space="preserve">Insurance:</w:t>
      </w:r>
      <w:r>
        <w:t xml:space="preserve"> </w:t>
      </w:r>
      <w:r>
        <w:t xml:space="preserve">The Seller shall maintain professional liability insurance with a minimum coverage of $2,000,000 per occurrence and $5,000,000 aggregate, as well as workers' compensation insurance, for the entire term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satisfactorily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of America. Any disputes shall be resolved through binding arbitration in Miami-Dade County, United States Miami, in accordance with the rules of the American Arbitration Association.</w:t>
      </w:r>
    </w:p>
    <w:p>
      <w:pPr>
        <w:numPr>
          <w:ilvl w:val="0"/>
          <w:numId w:val="1001"/>
        </w:numPr>
        <w:pStyle w:val="Compact"/>
      </w:pPr>
      <w:r>
        <w:rPr>
          <w:bCs/>
          <w:b/>
        </w:rPr>
        <w:t xml:space="preserve">Compliance:</w:t>
      </w:r>
      <w:r>
        <w:t xml:space="preserve"> </w:t>
      </w:r>
      <w:r>
        <w:t xml:space="preserve">The</w:t>
      </w:r>
      <w:r>
        <w:t xml:space="preserve"> </w:t>
      </w:r>
      <w:r>
        <w:t xml:space="preserve">Petroleum Engineer</w:t>
      </w:r>
      <w:r>
        <w:t xml:space="preserve"> </w:t>
      </w:r>
      <w:r>
        <w:t xml:space="preserve">shall comply with all applicable federal, state, and local laws and regulations, including but not limited to the Clean Water Act, the National Environmental Policy Act, and Florida Department of Environmental Protection (FDEP) regulations pertaining to petroleum operations in the United States Miami coastal and inland zones.</w:t>
      </w:r>
    </w:p>
    <w:p>
      <w:pPr>
        <w:numPr>
          <w:ilvl w:val="0"/>
          <w:numId w:val="1001"/>
        </w:numPr>
        <w:pStyle w:val="Compact"/>
      </w:pPr>
      <w:r>
        <w:rPr>
          <w:bCs/>
          <w:b/>
        </w:rPr>
        <w:t xml:space="preserve">Warranty of Services:</w:t>
      </w:r>
      <w:r>
        <w:t xml:space="preserve"> </w:t>
      </w:r>
      <w:r>
        <w:t xml:space="preserve">The Seller warrants that all analyses, reports, and recommendations provided by the</w:t>
      </w:r>
      <w:r>
        <w:t xml:space="preserve"> </w:t>
      </w:r>
      <w:r>
        <w:t xml:space="preserve">Petroleum Engineer</w:t>
      </w:r>
      <w:r>
        <w:t xml:space="preserve"> </w:t>
      </w:r>
      <w:r>
        <w:t xml:space="preserve">shall be performed in a professional, workmanlike manner consistent with industry best practices and applicable engineering standards.</w:t>
      </w:r>
    </w:p>
    <w:bookmarkEnd w:id="25"/>
    <w:bookmarkStart w:id="26" w:name="authorized-signatures"/>
    <w:p>
      <w:pPr>
        <w:pStyle w:val="Heading2"/>
      </w:pPr>
      <w:r>
        <w:t xml:space="preserve">6. Authorized Signatures</w:t>
      </w:r>
    </w:p>
    <w:p>
      <w:pPr>
        <w:pStyle w:val="FirstParagraph"/>
      </w:pPr>
      <w:r>
        <w:rPr>
          <w:bCs/>
          <w:b/>
        </w:rPr>
        <w:t xml:space="preserve">For the Buyer:</w:t>
      </w:r>
      <w:r>
        <w:br/>
      </w:r>
      <w:r>
        <w:t xml:space="preserve">Atlantic Basin Energy Partners, LLC</w:t>
      </w:r>
    </w:p>
    <w:p>
      <w:pPr>
        <w:pStyle w:val="BodyText"/>
      </w:pPr>
      <w:r>
        <w:t xml:space="preserve">Ms. Elena Vasquez</w:t>
      </w:r>
      <w:r>
        <w:br/>
      </w:r>
      <w:r>
        <w:t xml:space="preserve">Director of Procurement</w:t>
      </w:r>
      <w:r>
        <w:br/>
      </w:r>
      <w:r>
        <w:t xml:space="preserve">Date: ______________________</w:t>
      </w:r>
    </w:p>
    <w:p>
      <w:pPr>
        <w:pStyle w:val="BodyText"/>
      </w:pPr>
      <w:r>
        <w:rPr>
          <w:bCs/>
          <w:b/>
        </w:rPr>
        <w:t xml:space="preserve">For the Seller:</w:t>
      </w:r>
      <w:r>
        <w:br/>
      </w:r>
      <w:r>
        <w:t xml:space="preserve">Deepwater Technical Consulting Group, Inc.</w:t>
      </w:r>
    </w:p>
    <w:p>
      <w:pPr>
        <w:pStyle w:val="BodyText"/>
      </w:pPr>
      <w:r>
        <w:t xml:space="preserve">Mr. David Okafor</w:t>
      </w:r>
      <w:r>
        <w:br/>
      </w:r>
      <w:r>
        <w:t xml:space="preserve">Senior Petroleum Engineer &amp; Principal</w:t>
      </w:r>
      <w:r>
        <w:br/>
      </w:r>
      <w:r>
        <w:t xml:space="preserve">Date: ______________________</w:t>
      </w:r>
    </w:p>
    <w:bookmarkEnd w:id="26"/>
    <w:p>
      <w:pPr>
        <w:pStyle w:val="BodyText"/>
      </w:pPr>
      <w:r>
        <w:t xml:space="preserve">This Purchase Order document (PO-2025-MIA-PE-0472) was issued by Atlantic Basin Energy Partners, LLC for the procurement of Petroleum Engineer professional services in the United States Miami, Florida, United States of America. This document is valid only when signed and stamped by both parties. Unauthorized reproduction or distribution is prohibited.</w:t>
      </w:r>
    </w:p>
    <w:p>
      <w:pPr>
        <w:pStyle w:val="BodyText"/>
      </w:pPr>
      <w:r>
        <w:t xml:space="preserve">© 2025 Atlantic Basin Energy Partners,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dc:title>
  <dc:creator/>
  <dc:language>en</dc:language>
  <cp:keywords/>
  <dcterms:created xsi:type="dcterms:W3CDTF">2026-10-10T07:34:32Z</dcterms:created>
  <dcterms:modified xsi:type="dcterms:W3CDTF">2026-10-10T07:34:32Z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