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Buyer:</w:t>
      </w:r>
      <w:r>
        <w:t xml:space="preserve"> </w:t>
      </w:r>
      <w:r>
        <w:t xml:space="preserve">Brisbane Central Pharmacy &amp; Dispensary Pty Ltd</w:t>
      </w:r>
    </w:p>
    <w:p>
      <w:pPr>
        <w:pStyle w:val="BodyText"/>
      </w:pPr>
      <w:r>
        <w:rPr>
          <w:bCs/>
          <w:b/>
        </w:rPr>
        <w:t xml:space="preserve">ABN:</w:t>
      </w:r>
      <w:r>
        <w:t xml:space="preserve"> </w:t>
      </w:r>
      <w:r>
        <w:t xml:space="preserve">52 847 391 062</w:t>
      </w:r>
    </w:p>
    <w:p>
      <w:pPr>
        <w:pStyle w:val="BodyText"/>
      </w:pPr>
      <w:r>
        <w:rPr>
          <w:bCs/>
          <w:b/>
        </w:rPr>
        <w:t xml:space="preserve">Address:</w:t>
      </w:r>
      <w:r>
        <w:t xml:space="preserve"> </w:t>
      </w:r>
      <w:r>
        <w:t xml:space="preserve">142 Creek Street, Brisbane City, Queensland 4000, Australia Brisbane</w:t>
      </w:r>
    </w:p>
    <w:p>
      <w:pPr>
        <w:pStyle w:val="BodyText"/>
      </w:pPr>
      <w:r>
        <w:rPr>
          <w:bCs/>
          <w:b/>
        </w:rPr>
        <w:t xml:space="preserve">Contact:</w:t>
      </w:r>
      <w:r>
        <w:t xml:space="preserve"> </w:t>
      </w:r>
      <w:r>
        <w:t xml:space="preserve">Dr. Margaret Sullivan, Lead Pharmacist | Phone: +61 7 3221 4487 | Email: m.sullivan@brisbanecentralpharmacy.com.au</w:t>
      </w:r>
    </w:p>
    <w:bookmarkEnd w:id="20"/>
    <w:p>
      <w:pPr>
        <w:pStyle w:val="BodyText"/>
      </w:pPr>
      <w:r>
        <w:rPr>
          <w:bCs/>
          <w:b/>
        </w:rPr>
        <w:t xml:space="preserve">Purchase Order No.:</w:t>
      </w:r>
      <w:r>
        <w:t xml:space="preserve"> </w:t>
      </w:r>
      <w:r>
        <w:t xml:space="preserve">PO-2025-BRIS-0487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Supplier:</w:t>
      </w:r>
      <w:r>
        <w:t xml:space="preserve"> </w:t>
      </w:r>
      <w:r>
        <w:t xml:space="preserve">MedSupply Queensland Distribution Co.</w:t>
      </w:r>
    </w:p>
    <w:p>
      <w:pPr>
        <w:pStyle w:val="BodyText"/>
      </w:pPr>
      <w:r>
        <w:rPr>
          <w:bCs/>
          <w:b/>
        </w:rPr>
        <w:t xml:space="preserve">ABN:</w:t>
      </w:r>
      <w:r>
        <w:t xml:space="preserve"> </w:t>
      </w:r>
      <w:r>
        <w:t xml:space="preserve">94 216 783 540</w:t>
      </w:r>
    </w:p>
    <w:p>
      <w:pPr>
        <w:pStyle w:val="BodyText"/>
      </w:pPr>
      <w:r>
        <w:rPr>
          <w:bCs/>
          <w:b/>
        </w:rPr>
        <w:t xml:space="preserve">Address:</w:t>
      </w:r>
      <w:r>
        <w:t xml:space="preserve"> </w:t>
      </w:r>
      <w:r>
        <w:t xml:space="preserve">8 Warehouse Lane, Acacia Ridge, Queensland 4025, Australia Brisbane</w:t>
      </w:r>
    </w:p>
    <w:p>
      <w:pPr>
        <w:pStyle w:val="BodyText"/>
      </w:pPr>
      <w:r>
        <w:rPr>
          <w:bCs/>
          <w:b/>
        </w:rPr>
        <w:t xml:space="preserve">Contact:</w:t>
      </w:r>
      <w:r>
        <w:t xml:space="preserve"> </w:t>
      </w:r>
      <w:r>
        <w:t xml:space="preserve">James Whitfield, Account Manager | Phone: +61 7 3855 2210</w:t>
      </w:r>
    </w:p>
    <w:p>
      <w:pPr>
        <w:pStyle w:val="BodyText"/>
      </w:pPr>
      <w:r>
        <w:t xml:space="preserve">PURCHASE ORDER DETAILS – PHARMACIST SUPPLY ORDER</w:t>
      </w:r>
    </w:p>
    <w:p>
      <w:pPr>
        <w:pStyle w:val="BodyText"/>
      </w:pPr>
      <w:r>
        <w:t xml:space="preserve">This</w:t>
      </w:r>
      <w:r>
        <w:t xml:space="preserve"> </w:t>
      </w:r>
      <w:r>
        <w:t xml:space="preserve">Purchase Order</w:t>
      </w:r>
      <w:r>
        <w:t xml:space="preserve"> </w:t>
      </w:r>
      <w:r>
        <w:t xml:space="preserve">is issued by Brisbane Central Pharmacy &amp; Dispensary Pty Ltd, a registered pharmacy operating under the jurisdiction of the Pharmacy Board of Australia, to procure pharmaceutical products, dispensing equipment, and related supplies for use by our licensed</w:t>
      </w:r>
      <w:r>
        <w:t xml:space="preserve"> </w:t>
      </w:r>
      <w:r>
        <w:t xml:space="preserve">Pharmacist</w:t>
      </w:r>
      <w:r>
        <w:t xml:space="preserve"> </w:t>
      </w:r>
      <w:r>
        <w:t xml:space="preserve">team. All goods ordered under this</w:t>
      </w:r>
      <w:r>
        <w:t xml:space="preserve"> </w:t>
      </w:r>
      <w:r>
        <w:t xml:space="preserve">Purchase Order</w:t>
      </w:r>
      <w:r>
        <w:t xml:space="preserve"> </w:t>
      </w:r>
      <w:r>
        <w:t xml:space="preserve">must comply with the Therapeutic Goods Act 1989 (Cth), the Australian Pharmaceutical Standards, and all applicable Queensland state regulations governing the supply and storage of medicines in Australia Brisbane.</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Amoxicillin 500mg Capsules – 1000 ct (TGA Approved, Schedule 4)</w:t>
            </w:r>
          </w:p>
        </w:tc>
        <w:tc>
          <w:tcPr/>
          <w:p>
            <w:pPr>
              <w:pStyle w:val="Compact"/>
              <w:jc w:val="left"/>
            </w:pPr>
            <w:r>
              <w:t xml:space="preserve">25</w:t>
            </w:r>
          </w:p>
        </w:tc>
        <w:tc>
          <w:tcPr/>
          <w:p>
            <w:pPr>
              <w:pStyle w:val="Compact"/>
              <w:jc w:val="left"/>
            </w:pPr>
            <w:r>
              <w:t xml:space="preserve">Boxes</w:t>
            </w:r>
          </w:p>
        </w:tc>
        <w:tc>
          <w:tcPr/>
          <w:p>
            <w:pPr>
              <w:pStyle w:val="Compact"/>
              <w:jc w:val="left"/>
            </w:pPr>
            <w:r>
              <w:t xml:space="preserve">$187.50</w:t>
            </w:r>
          </w:p>
        </w:tc>
        <w:tc>
          <w:tcPr/>
          <w:p>
            <w:pPr>
              <w:pStyle w:val="Compact"/>
              <w:jc w:val="left"/>
            </w:pPr>
            <w:r>
              <w:t xml:space="preserve">$4,687.50</w:t>
            </w:r>
          </w:p>
        </w:tc>
        <w:tc>
          <w:tcPr/>
          <w:p>
            <w:pPr>
              <w:pStyle w:val="Compact"/>
              <w:jc w:val="left"/>
            </w:pPr>
            <w:r>
              <w:t xml:space="preserve">28 Jun 2025</w:t>
            </w:r>
          </w:p>
        </w:tc>
      </w:tr>
      <w:tr>
        <w:tc>
          <w:tcPr/>
          <w:p>
            <w:pPr>
              <w:pStyle w:val="Compact"/>
              <w:jc w:val="left"/>
            </w:pPr>
            <w:r>
              <w:t xml:space="preserve">02</w:t>
            </w:r>
          </w:p>
        </w:tc>
        <w:tc>
          <w:tcPr/>
          <w:p>
            <w:pPr>
              <w:pStyle w:val="Compact"/>
              <w:jc w:val="left"/>
            </w:pPr>
            <w:r>
              <w:t xml:space="preserve">Ibuprofen 400mg Tablets – 500 ct (Schedule 2)</w:t>
            </w:r>
          </w:p>
        </w:tc>
        <w:tc>
          <w:tcPr/>
          <w:p>
            <w:pPr>
              <w:pStyle w:val="Compact"/>
              <w:jc w:val="left"/>
            </w:pPr>
            <w:r>
              <w:t xml:space="preserve">40</w:t>
            </w:r>
          </w:p>
        </w:tc>
        <w:tc>
          <w:tcPr/>
          <w:p>
            <w:pPr>
              <w:pStyle w:val="Compact"/>
              <w:jc w:val="left"/>
            </w:pPr>
            <w:r>
              <w:t xml:space="preserve">Boxes</w:t>
            </w:r>
          </w:p>
        </w:tc>
        <w:tc>
          <w:tcPr/>
          <w:p>
            <w:pPr>
              <w:pStyle w:val="Compact"/>
              <w:jc w:val="left"/>
            </w:pPr>
            <w:r>
              <w:t xml:space="preserve">$92.00</w:t>
            </w:r>
          </w:p>
        </w:tc>
        <w:tc>
          <w:tcPr/>
          <w:p>
            <w:pPr>
              <w:pStyle w:val="Compact"/>
              <w:jc w:val="left"/>
            </w:pPr>
            <w:r>
              <w:t xml:space="preserve">$3,680.00</w:t>
            </w:r>
          </w:p>
        </w:tc>
        <w:tc>
          <w:tcPr/>
          <w:p>
            <w:pPr>
              <w:pStyle w:val="Compact"/>
              <w:jc w:val="left"/>
            </w:pPr>
            <w:r>
              <w:t xml:space="preserve">28 Jun 2025</w:t>
            </w:r>
          </w:p>
        </w:tc>
      </w:tr>
      <w:tr>
        <w:tc>
          <w:tcPr/>
          <w:p>
            <w:pPr>
              <w:pStyle w:val="Compact"/>
              <w:jc w:val="left"/>
            </w:pPr>
            <w:r>
              <w:t xml:space="preserve">03</w:t>
            </w:r>
          </w:p>
        </w:tc>
        <w:tc>
          <w:tcPr/>
          <w:p>
            <w:pPr>
              <w:pStyle w:val="Compact"/>
              <w:jc w:val="left"/>
            </w:pPr>
            <w:r>
              <w:t xml:space="preserve">Metformin 500mg Tablets – 1000 ct (Schedule 4)</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$145.00</w:t>
            </w:r>
          </w:p>
        </w:tc>
        <w:tc>
          <w:tcPr/>
          <w:p>
            <w:pPr>
              <w:pStyle w:val="Compact"/>
              <w:jc w:val="left"/>
            </w:pPr>
            <w:r>
              <w:t xml:space="preserve">$4,350.00</w:t>
            </w:r>
          </w:p>
        </w:tc>
        <w:tc>
          <w:tcPr/>
          <w:p>
            <w:pPr>
              <w:pStyle w:val="Compact"/>
              <w:jc w:val="left"/>
            </w:pPr>
            <w:r>
              <w:t xml:space="preserve">28 Jun 2025</w:t>
            </w:r>
          </w:p>
        </w:tc>
      </w:tr>
      <w:tr>
        <w:tc>
          <w:tcPr/>
          <w:p>
            <w:pPr>
              <w:pStyle w:val="Compact"/>
              <w:jc w:val="left"/>
            </w:pPr>
            <w:r>
              <w:t xml:space="preserve">04</w:t>
            </w:r>
          </w:p>
        </w:tc>
        <w:tc>
          <w:tcPr/>
          <w:p>
            <w:pPr>
              <w:pStyle w:val="Compact"/>
              <w:jc w:val="left"/>
            </w:pPr>
            <w:r>
              <w:t xml:space="preserve">Pharmacist-Grade Electronic Dispensing Scale (0.01g precision, TGA compliant)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$1,240.00</w:t>
            </w:r>
          </w:p>
        </w:tc>
        <w:tc>
          <w:tcPr/>
          <w:p>
            <w:pPr>
              <w:pStyle w:val="Compact"/>
              <w:jc w:val="left"/>
            </w:pPr>
            <w:r>
              <w:t xml:space="preserve">$2,480.00</w:t>
            </w:r>
          </w:p>
        </w:tc>
        <w:tc>
          <w:tcPr/>
          <w:p>
            <w:pPr>
              <w:pStyle w:val="Compact"/>
              <w:jc w:val="left"/>
            </w:pPr>
            <w:r>
              <w:t xml:space="preserve">28 Jun 2025</w:t>
            </w:r>
          </w:p>
        </w:tc>
      </w:tr>
      <w:tr>
        <w:tc>
          <w:tcPr/>
          <w:p>
            <w:pPr>
              <w:pStyle w:val="Compact"/>
              <w:jc w:val="left"/>
            </w:pPr>
            <w:r>
              <w:t xml:space="preserve">05</w:t>
            </w:r>
          </w:p>
        </w:tc>
        <w:tc>
          <w:tcPr/>
          <w:p>
            <w:pPr>
              <w:pStyle w:val="Compact"/>
              <w:jc w:val="left"/>
            </w:pPr>
            <w:r>
              <w:t xml:space="preserve">Pharmacist Compounding Gloves – Nitrile, Powder-Free, Size M (Box of 100)</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$18.75</w:t>
            </w:r>
          </w:p>
        </w:tc>
        <w:tc>
          <w:tcPr/>
          <w:p>
            <w:pPr>
              <w:pStyle w:val="Compact"/>
              <w:jc w:val="left"/>
            </w:pPr>
            <w:r>
              <w:t xml:space="preserve">$937.50</w:t>
            </w:r>
          </w:p>
        </w:tc>
        <w:tc>
          <w:tcPr/>
          <w:p>
            <w:pPr>
              <w:pStyle w:val="Compact"/>
              <w:jc w:val="left"/>
            </w:pPr>
            <w:r>
              <w:t xml:space="preserve">28 Jun 2025</w:t>
            </w:r>
          </w:p>
        </w:tc>
      </w:tr>
      <w:tr>
        <w:tc>
          <w:tcPr/>
          <w:p>
            <w:pPr>
              <w:pStyle w:val="Compact"/>
              <w:jc w:val="left"/>
            </w:pPr>
            <w:r>
              <w:t xml:space="preserve">06</w:t>
            </w:r>
          </w:p>
        </w:tc>
        <w:tc>
          <w:tcPr/>
          <w:p>
            <w:pPr>
              <w:pStyle w:val="Compact"/>
              <w:jc w:val="left"/>
            </w:pPr>
            <w:r>
              <w:t xml:space="preserve">Refrigerated Vaccine Storage Unit – 200L, TGA &amp; AHPRA Compliant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28 Jun 2025</w:t>
            </w:r>
          </w:p>
        </w:tc>
      </w:tr>
      <w:tr>
        <w:tc>
          <w:tcPr/>
          <w:p>
            <w:pPr>
              <w:pStyle w:val="Compact"/>
              <w:jc w:val="left"/>
            </w:pPr>
            <w:r>
              <w:t xml:space="preserve">07</w:t>
            </w:r>
          </w:p>
        </w:tc>
        <w:tc>
          <w:tcPr/>
          <w:p>
            <w:pPr>
              <w:pStyle w:val="Compact"/>
              <w:jc w:val="left"/>
            </w:pPr>
            <w:r>
              <w:t xml:space="preserve">Pharmacist Patient Counselling Brochures – Australian Health Topics (Set of 200)</w:t>
            </w:r>
          </w:p>
        </w:tc>
        <w:tc>
          <w:tcPr/>
          <w:p>
            <w:pPr>
              <w:pStyle w:val="Compact"/>
              <w:jc w:val="left"/>
            </w:pPr>
            <w:r>
              <w:t xml:space="preserve">10</w:t>
            </w:r>
          </w:p>
        </w:tc>
        <w:tc>
          <w:tcPr/>
          <w:p>
            <w:pPr>
              <w:pStyle w:val="Compact"/>
              <w:jc w:val="left"/>
            </w:pPr>
            <w:r>
              <w:t xml:space="preserve">Sets</w:t>
            </w:r>
          </w:p>
        </w:tc>
        <w:tc>
          <w:tcPr/>
          <w:p>
            <w:pPr>
              <w:pStyle w:val="Compact"/>
              <w:jc w:val="left"/>
            </w:pPr>
            <w:r>
              <w:t xml:space="preserve">$45.00</w:t>
            </w:r>
          </w:p>
        </w:tc>
        <w:tc>
          <w:tcPr/>
          <w:p>
            <w:pPr>
              <w:pStyle w:val="Compact"/>
              <w:jc w:val="left"/>
            </w:pPr>
            <w:r>
              <w:t xml:space="preserve">$450.00</w:t>
            </w:r>
          </w:p>
        </w:tc>
        <w:tc>
          <w:tcPr/>
          <w:p>
            <w:pPr>
              <w:pStyle w:val="Compact"/>
              <w:jc w:val="left"/>
            </w:pPr>
            <w:r>
              <w:t xml:space="preserve">28 Jun 2025</w:t>
            </w:r>
          </w:p>
        </w:tc>
      </w:tr>
      <w:tr>
        <w:tc>
          <w:tcPr/>
          <w:p>
            <w:pPr>
              <w:pStyle w:val="Compact"/>
              <w:jc w:val="left"/>
            </w:pPr>
            <w:r>
              <w:t xml:space="preserve">08</w:t>
            </w:r>
          </w:p>
        </w:tc>
        <w:tc>
          <w:tcPr/>
          <w:p>
            <w:pPr>
              <w:pStyle w:val="Compact"/>
              <w:jc w:val="left"/>
            </w:pPr>
            <w:r>
              <w:t xml:space="preserve">Sterile Saline 0.9% – 500mL IV Bags (Box of 25)</w:t>
            </w:r>
          </w:p>
        </w:tc>
        <w:tc>
          <w:tcPr/>
          <w:p>
            <w:pPr>
              <w:pStyle w:val="Compact"/>
              <w:jc w:val="left"/>
            </w:pPr>
            <w:r>
              <w:t xml:space="preserve">20</w:t>
            </w:r>
          </w:p>
        </w:tc>
        <w:tc>
          <w:tcPr/>
          <w:p>
            <w:pPr>
              <w:pStyle w:val="Compact"/>
              <w:jc w:val="left"/>
            </w:pPr>
            <w:r>
              <w:t xml:space="preserve">Boxes</w:t>
            </w:r>
          </w:p>
        </w:tc>
        <w:tc>
          <w:tcPr/>
          <w:p>
            <w:pPr>
              <w:pStyle w:val="Compact"/>
              <w:jc w:val="left"/>
            </w:pPr>
            <w:r>
              <w:t xml:space="preserve">$68.00</w:t>
            </w:r>
          </w:p>
        </w:tc>
        <w:tc>
          <w:tcPr/>
          <w:p>
            <w:pPr>
              <w:pStyle w:val="Compact"/>
              <w:jc w:val="left"/>
            </w:pPr>
            <w:r>
              <w:t xml:space="preserve">$1,360.00</w:t>
            </w:r>
          </w:p>
        </w:tc>
        <w:tc>
          <w:tcPr/>
          <w:p>
            <w:pPr>
              <w:pStyle w:val="Compact"/>
              <w:jc w:val="left"/>
            </w:pPr>
            <w:r>
              <w:t xml:space="preserve">28 Jun 2025</w:t>
            </w:r>
          </w:p>
        </w:tc>
      </w:tr>
      <w:tr>
        <w:tc>
          <w:tcPr/>
          <w:p>
            <w:pPr>
              <w:pStyle w:val="Compact"/>
              <w:jc w:val="left"/>
            </w:pPr>
            <w:r>
              <w:t xml:space="preserve">09</w:t>
            </w:r>
          </w:p>
        </w:tc>
        <w:tc>
          <w:tcPr/>
          <w:p>
            <w:pPr>
              <w:pStyle w:val="Compact"/>
              <w:jc w:val="left"/>
            </w:pPr>
            <w:r>
              <w:t xml:space="preserve">Pharmacist-Grade Label Printer with Thermal Ribbon (AHPRA compliant labelling)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$780.00</w:t>
            </w:r>
          </w:p>
        </w:tc>
        <w:tc>
          <w:tcPr/>
          <w:p>
            <w:pPr>
              <w:pStyle w:val="Compact"/>
              <w:jc w:val="left"/>
            </w:pPr>
            <w:r>
              <w:t xml:space="preserve">$780.00</w:t>
            </w:r>
          </w:p>
        </w:tc>
        <w:tc>
          <w:tcPr/>
          <w:p>
            <w:pPr>
              <w:pStyle w:val="Compact"/>
              <w:jc w:val="left"/>
            </w:pPr>
            <w:r>
              <w:t xml:space="preserve">28 Jun 2025</w:t>
            </w:r>
          </w:p>
        </w:tc>
      </w:tr>
      <w:tr>
        <w:tc>
          <w:tcPr/>
          <w:p>
            <w:pPr>
              <w:pStyle w:val="Compact"/>
              <w:jc w:val="left"/>
            </w:pPr>
            <w:r>
              <w:t xml:space="preserve">10</w:t>
            </w:r>
          </w:p>
        </w:tc>
        <w:tc>
          <w:tcPr/>
          <w:p>
            <w:pPr>
              <w:pStyle w:val="Compact"/>
              <w:jc w:val="left"/>
            </w:pPr>
            <w:r>
              <w:t xml:space="preserve">Controlled Drug Register Book – Queensland Police Service Format</w:t>
            </w:r>
          </w:p>
        </w:tc>
        <w:tc>
          <w:tcPr/>
          <w:p>
            <w:pPr>
              <w:pStyle w:val="Compact"/>
              <w:jc w:val="left"/>
            </w:pPr>
            <w:r>
              <w:t xml:space="preserve">5</w:t>
            </w:r>
          </w:p>
        </w:tc>
        <w:tc>
          <w:tcPr/>
          <w:p>
            <w:pPr>
              <w:pStyle w:val="Compact"/>
              <w:jc w:val="left"/>
            </w:pPr>
            <w:r>
              <w:t xml:space="preserve">Books</w:t>
            </w:r>
          </w:p>
        </w:tc>
        <w:tc>
          <w:tcPr/>
          <w:p>
            <w:pPr>
              <w:pStyle w:val="Compact"/>
              <w:jc w:val="left"/>
            </w:pPr>
            <w:r>
              <w:t xml:space="preserve">$32.00</w:t>
            </w:r>
          </w:p>
        </w:tc>
        <w:tc>
          <w:tcPr/>
          <w:p>
            <w:pPr>
              <w:pStyle w:val="Compact"/>
              <w:jc w:val="left"/>
            </w:pPr>
            <w:r>
              <w:t xml:space="preserve">$160.00</w:t>
            </w:r>
          </w:p>
        </w:tc>
        <w:tc>
          <w:tcPr/>
          <w:p>
            <w:pPr>
              <w:pStyle w:val="Compact"/>
              <w:jc w:val="left"/>
            </w:pPr>
            <w:r>
              <w:t xml:space="preserve">28 Jun 2025</w:t>
            </w:r>
          </w:p>
        </w:tc>
      </w:tr>
      <w:tr>
        <w:tc>
          <w:tcPr>
            <w:gridSpan w:val="5"/>
          </w:tcPr>
          <w:p>
            <w:pPr>
              <w:pStyle w:val="Compact"/>
              <w:jc w:val="right"/>
            </w:pPr>
            <w:r>
              <w:t xml:space="preserve">Subtotal:</w:t>
            </w:r>
          </w:p>
        </w:tc>
        <w:tc>
          <w:tcPr/>
          <w:p>
            <w:pPr>
              <w:pStyle w:val="Compact"/>
              <w:jc w:val="left"/>
            </w:pPr>
            <w:r>
              <w:t xml:space="preserve">$22,735.00</w:t>
            </w:r>
          </w:p>
        </w:tc>
        <w:tc>
          <w:tcPr/>
          <w:p>
            <w:pPr>
              <w:pStyle w:val="Compact"/>
            </w:pPr>
          </w:p>
        </w:tc>
      </w:tr>
      <w:tr>
        <w:tc>
          <w:tcPr>
            <w:gridSpan w:val="5"/>
          </w:tcPr>
          <w:p>
            <w:pPr>
              <w:pStyle w:val="Compact"/>
              <w:jc w:val="right"/>
            </w:pPr>
            <w:r>
              <w:t xml:space="preserve">GST (10%):</w:t>
            </w:r>
          </w:p>
        </w:tc>
        <w:tc>
          <w:tcPr/>
          <w:p>
            <w:pPr>
              <w:pStyle w:val="Compact"/>
              <w:jc w:val="left"/>
            </w:pPr>
            <w:r>
              <w:t xml:space="preserve">$2,273.50</w:t>
            </w:r>
          </w:p>
        </w:tc>
        <w:tc>
          <w:tcPr/>
          <w:p>
            <w:pPr>
              <w:pStyle w:val="Compact"/>
            </w:pPr>
          </w:p>
        </w:tc>
      </w:tr>
      <w:tr>
        <w:tc>
          <w:tcPr>
            <w:gridSpan w:val="5"/>
          </w:tcPr>
          <w:p>
            <w:pPr>
              <w:pStyle w:val="Compact"/>
              <w:jc w:val="right"/>
            </w:pPr>
            <w:r>
              <w:t xml:space="preserve">Freight &amp; Delivery (Brisbane Metro):</w:t>
            </w:r>
          </w:p>
        </w:tc>
        <w:tc>
          <w:tcPr/>
          <w:p>
            <w:pPr>
              <w:pStyle w:val="Compact"/>
              <w:jc w:val="left"/>
            </w:pPr>
            <w:r>
              <w:t xml:space="preserve">$320.00</w:t>
            </w:r>
          </w:p>
        </w:tc>
        <w:tc>
          <w:tcPr/>
          <w:p>
            <w:pPr>
              <w:pStyle w:val="Compact"/>
            </w:pPr>
          </w:p>
        </w:tc>
      </w:tr>
      <w:tr>
        <w:tc>
          <w:tcPr>
            <w:gridSpan w:val="5"/>
          </w:tcPr>
          <w:p>
            <w:pPr>
              <w:pStyle w:val="Compact"/>
              <w:jc w:val="right"/>
            </w:pPr>
            <w:r>
              <w:t xml:space="preserve">TOTAL AMOUNT DUE (AUD):</w:t>
            </w:r>
          </w:p>
        </w:tc>
        <w:tc>
          <w:tcPr/>
          <w:p>
            <w:pPr>
              <w:pStyle w:val="Compact"/>
              <w:jc w:val="left"/>
            </w:pPr>
            <w:r>
              <w:t xml:space="preserve">$25,328.50</w:t>
            </w:r>
          </w:p>
        </w:tc>
        <w:tc>
          <w:tcPr/>
          <w:p>
            <w:pPr>
              <w:pStyle w:val="Compact"/>
            </w:pP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(PO-2025-BRIS-0487) constitutes a binding offer to purchase the goods listed above. Acceptance by the supplier shall be confirmed in writing within five (5) business days of the date of issue. Failure to confirm within this period shall be deemed a rejection of this</w:t>
      </w:r>
      <w:r>
        <w:t xml:space="preserve"> </w:t>
      </w:r>
      <w:r>
        <w:t xml:space="preserve">Purchase Order</w:t>
      </w:r>
      <w:r>
        <w:t xml:space="preserve">.</w:t>
      </w:r>
    </w:p>
    <w:p>
      <w:pPr>
        <w:numPr>
          <w:ilvl w:val="0"/>
          <w:numId w:val="1001"/>
        </w:numPr>
        <w:pStyle w:val="Compact"/>
      </w:pPr>
      <w:r>
        <w:rPr>
          <w:bCs/>
          <w:b/>
        </w:rPr>
        <w:t xml:space="preserve">Compliance:</w:t>
      </w:r>
      <w:r>
        <w:t xml:space="preserve"> </w:t>
      </w:r>
      <w:r>
        <w:t xml:space="preserve">All pharmaceutical products supplied under this</w:t>
      </w:r>
      <w:r>
        <w:t xml:space="preserve"> </w:t>
      </w:r>
      <w:r>
        <w:t xml:space="preserve">Purchase Order</w:t>
      </w:r>
      <w:r>
        <w:t xml:space="preserve"> </w:t>
      </w:r>
      <w:r>
        <w:t xml:space="preserve">must be registered with the Therapeutic Goods Administration (TGA) and must meet the Australian Pharmaceutical Standards. The supplier warrants that all Schedule 4 and Schedule 8 items are sourced from TGA-approved manufacturers and distributed in full compliance with Australian law.</w:t>
      </w:r>
    </w:p>
    <w:p>
      <w:pPr>
        <w:numPr>
          <w:ilvl w:val="0"/>
          <w:numId w:val="1001"/>
        </w:numPr>
        <w:pStyle w:val="Compact"/>
      </w:pPr>
      <w:r>
        <w:rPr>
          <w:bCs/>
          <w:b/>
        </w:rPr>
        <w:t xml:space="preserve">Pharmacist Oversight:</w:t>
      </w:r>
      <w:r>
        <w:t xml:space="preserve"> </w:t>
      </w:r>
      <w:r>
        <w:t xml:space="preserve">All goods delivered under this</w:t>
      </w:r>
      <w:r>
        <w:t xml:space="preserve"> </w:t>
      </w:r>
      <w:r>
        <w:t xml:space="preserve">Purchase Order</w:t>
      </w:r>
      <w:r>
        <w:t xml:space="preserve"> </w:t>
      </w:r>
      <w:r>
        <w:t xml:space="preserve">shall be inspected and accepted by the Lead</w:t>
      </w:r>
      <w:r>
        <w:t xml:space="preserve"> </w:t>
      </w:r>
      <w:r>
        <w:t xml:space="preserve">Pharmacist</w:t>
      </w:r>
      <w:r>
        <w:t xml:space="preserve">, Dr. Margaret Sullivan, or her authorised delegate. No goods shall be deemed accepted until the</w:t>
      </w:r>
      <w:r>
        <w:t xml:space="preserve"> </w:t>
      </w:r>
      <w:r>
        <w:t xml:space="preserve">Pharmacist</w:t>
      </w:r>
      <w:r>
        <w:t xml:space="preserve"> </w:t>
      </w:r>
      <w:r>
        <w:t xml:space="preserve">has verified product integrity, batch numbers, expiry dates, and regulatory labelling in accordance with Queensland pharmacy practice standards.</w:t>
      </w:r>
    </w:p>
    <w:p>
      <w:pPr>
        <w:numPr>
          <w:ilvl w:val="0"/>
          <w:numId w:val="1001"/>
        </w:numPr>
        <w:pStyle w:val="Compact"/>
      </w:pPr>
      <w:r>
        <w:rPr>
          <w:bCs/>
          <w:b/>
        </w:rPr>
        <w:t xml:space="preserve">Delivery:</w:t>
      </w:r>
      <w:r>
        <w:t xml:space="preserve"> </w:t>
      </w:r>
      <w:r>
        <w:t xml:space="preserve">Delivery shall be made to the premises of Brisbane Central Pharmacy &amp; Dispensary Pty Ltd, 142 Creek Street, Brisbane City, Queensland 4000, Australia Brisbane, between the hours of 08:00 and 16:00 AEST on the required delivery date. The supplier is responsible for all freight, insurance, and handling charges as specified in this</w:t>
      </w:r>
      <w:r>
        <w:t xml:space="preserve"> </w:t>
      </w:r>
      <w:r>
        <w:t xml:space="preserve">Purchase Order</w:t>
      </w:r>
      <w:r>
        <w:t xml:space="preserve">.</w:t>
      </w:r>
    </w:p>
    <w:p>
      <w:pPr>
        <w:numPr>
          <w:ilvl w:val="0"/>
          <w:numId w:val="1001"/>
        </w:numPr>
        <w:pStyle w:val="Compact"/>
      </w:pPr>
      <w:r>
        <w:rPr>
          <w:bCs/>
          <w:b/>
        </w:rPr>
        <w:t xml:space="preserve">Payment Terms:</w:t>
      </w:r>
      <w:r>
        <w:t xml:space="preserve"> </w:t>
      </w:r>
      <w:r>
        <w:t xml:space="preserve">Payment of the total amount of AUD $25,328.50 (inclusive of GST) shall be made by electronic funds transfer (EFT) within thirty (30) calendar days of the date of invoice, provided that all goods have been inspected and accepted by the</w:t>
      </w:r>
      <w:r>
        <w:t xml:space="preserve"> </w:t>
      </w:r>
      <w:r>
        <w:t xml:space="preserve">Pharmacist</w:t>
      </w:r>
      <w:r>
        <w:t xml:space="preserve"> </w:t>
      </w:r>
      <w:r>
        <w:t xml:space="preserve">in charge. Bank details: BSB 062-123, Account No. 458 729 104, ANZ Bank, Brisbane CBD Branch.</w:t>
      </w:r>
    </w:p>
    <w:p>
      <w:pPr>
        <w:numPr>
          <w:ilvl w:val="0"/>
          <w:numId w:val="1001"/>
        </w:numPr>
        <w:pStyle w:val="Compact"/>
      </w:pPr>
      <w:r>
        <w:rPr>
          <w:bCs/>
          <w:b/>
        </w:rPr>
        <w:t xml:space="preserve">Warranty and Returns:</w:t>
      </w:r>
      <w:r>
        <w:t xml:space="preserve"> </w:t>
      </w:r>
      <w:r>
        <w:t xml:space="preserve">The supplier warrants that all goods supplied under this</w:t>
      </w:r>
      <w:r>
        <w:t xml:space="preserve"> </w:t>
      </w:r>
      <w:r>
        <w:t xml:space="preserve">Purchase Order</w:t>
      </w:r>
      <w:r>
        <w:t xml:space="preserve"> </w:t>
      </w:r>
      <w:r>
        <w:t xml:space="preserve">are free from defects, are of merchantable quality, and fit for the purpose for which a licensed</w:t>
      </w:r>
      <w:r>
        <w:t xml:space="preserve"> </w:t>
      </w:r>
      <w:r>
        <w:t xml:space="preserve">Pharmacist</w:t>
      </w:r>
      <w:r>
        <w:t xml:space="preserve"> </w:t>
      </w:r>
      <w:r>
        <w:t xml:space="preserve">in Australia Brisbane would reasonably require them. Any goods found to be damaged, expired, or non-compliant upon inspection may be returned at the supplier's expense within fourteen (14) days of delivery.</w:t>
      </w:r>
    </w:p>
    <w:p>
      <w:pPr>
        <w:numPr>
          <w:ilvl w:val="0"/>
          <w:numId w:val="1001"/>
        </w:numPr>
        <w:pStyle w:val="Compact"/>
      </w:pPr>
      <w:r>
        <w:rPr>
          <w:bCs/>
          <w:b/>
        </w:rPr>
        <w:t xml:space="preserve">Regulatory Compliance – Australia Brisbane:</w:t>
      </w:r>
      <w:r>
        <w:t xml:space="preserve"> </w:t>
      </w:r>
      <w:r>
        <w:t xml:space="preserve">The supplier acknowledges that the buyer operates a registered pharmacy in Australia Brisbane and is subject to the oversight of the Pharmacy Board of Australia, the Queensland Health Department, and the Australian Health Practitioner Regulation Agency (AHPRA). The supplier agrees to provide all necessary documentation, including certificates of analysis, TGA registration numbers, and cold-chain temperature logs, to support the</w:t>
      </w:r>
      <w:r>
        <w:t xml:space="preserve"> </w:t>
      </w:r>
      <w:r>
        <w:t xml:space="preserve">Pharmacist</w:t>
      </w:r>
      <w:r>
        <w:t xml:space="preserve">'s regulatory record-keeping obligations.</w:t>
      </w:r>
    </w:p>
    <w:p>
      <w:pPr>
        <w:numPr>
          <w:ilvl w:val="0"/>
          <w:numId w:val="1001"/>
        </w:numPr>
        <w:pStyle w:val="Compact"/>
      </w:pPr>
      <w:r>
        <w:rPr>
          <w:bCs/>
          <w:b/>
        </w:rPr>
        <w:t xml:space="preserve">Confidentiality:</w:t>
      </w:r>
      <w:r>
        <w:t xml:space="preserve"> </w:t>
      </w:r>
      <w:r>
        <w:t xml:space="preserve">All information exchanged in connection with this</w:t>
      </w:r>
      <w:r>
        <w:t xml:space="preserve"> </w:t>
      </w:r>
      <w:r>
        <w:t xml:space="preserve">Purchase Order</w:t>
      </w:r>
      <w:r>
        <w:t xml:space="preserve">, including patient-related dispensing data and the</w:t>
      </w:r>
      <w:r>
        <w:t xml:space="preserve"> </w:t>
      </w:r>
      <w:r>
        <w:t xml:space="preserve">Pharmacist</w:t>
      </w:r>
      <w:r>
        <w:t xml:space="preserve">'s operational records, shall be treated as confidential and shall not be disclosed to any third party without the prior written consent of Brisbane Central Pharmacy &amp; Dispensary Pty Ltd.</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Queensland, Australia Brisbane, and the Commonwealth of Australia. Any disputes arising from this</w:t>
      </w:r>
      <w:r>
        <w:t xml:space="preserve"> </w:t>
      </w:r>
      <w:r>
        <w:t xml:space="preserve">Purchase Order</w:t>
      </w:r>
      <w:r>
        <w:t xml:space="preserve"> </w:t>
      </w:r>
      <w:r>
        <w:t xml:space="preserve">shall be subject to the exclusive jurisdiction of the courts of Queensland.</w:t>
      </w:r>
    </w:p>
    <w:p>
      <w:pPr>
        <w:numPr>
          <w:ilvl w:val="0"/>
          <w:numId w:val="1001"/>
        </w:numPr>
        <w:pStyle w:val="Compact"/>
      </w:pPr>
      <w:r>
        <w:rPr>
          <w:bCs/>
          <w:b/>
        </w:rPr>
        <w:t xml:space="preserve">Amendments:</w:t>
      </w:r>
      <w:r>
        <w:t xml:space="preserve"> </w:t>
      </w:r>
      <w:r>
        <w:t xml:space="preserve">No amendment, variation, or cancellation of this</w:t>
      </w:r>
      <w:r>
        <w:t xml:space="preserve"> </w:t>
      </w:r>
      <w:r>
        <w:t xml:space="preserve">Purchase Order</w:t>
      </w:r>
      <w:r>
        <w:t xml:space="preserve"> </w:t>
      </w:r>
      <w:r>
        <w:t xml:space="preserve">shall be valid unless made in writing and signed by both the authorised</w:t>
      </w:r>
      <w:r>
        <w:t xml:space="preserve"> </w:t>
      </w:r>
      <w:r>
        <w:t xml:space="preserve">Pharmacist</w:t>
      </w:r>
      <w:r>
        <w:t xml:space="preserve"> </w:t>
      </w:r>
      <w:r>
        <w:t xml:space="preserve">representative of the buyer and the authorised representative of the supplier.</w:t>
      </w:r>
    </w:p>
    <w:p>
      <w:pPr>
        <w:pStyle w:val="FirstParagraph"/>
      </w:pPr>
      <w:r>
        <w:t xml:space="preserve">AUTHORISATION AND SIGNATURES</w:t>
      </w:r>
    </w:p>
    <w:p>
      <w:pPr>
        <w:pStyle w:val="BodyText"/>
      </w:pPr>
      <w:r>
        <w:rPr>
          <w:bCs/>
          <w:b/>
        </w:rPr>
        <w:t xml:space="preserve">For and on behalf of the Buyer:</w:t>
      </w:r>
    </w:p>
    <w:p>
      <w:pPr>
        <w:pStyle w:val="BodyText"/>
      </w:pPr>
      <w:r>
        <w:t xml:space="preserve">Brisbane Central Pharmacy &amp; Dispensary Pty Ltd</w:t>
      </w:r>
    </w:p>
    <w:p>
      <w:pPr>
        <w:pStyle w:val="BodyText"/>
      </w:pPr>
      <w:r>
        <w:t xml:space="preserve">Dr. Margaret Sullivan, Lead Pharmacist</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MedSupply Queensland Distribution Co.</w:t>
      </w:r>
    </w:p>
    <w:p>
      <w:pPr>
        <w:pStyle w:val="BodyText"/>
      </w:pPr>
      <w:r>
        <w:t xml:space="preserve">James Whitfield, Account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Document Reference:</w:t>
      </w:r>
      <w:r>
        <w:t xml:space="preserve"> </w:t>
      </w:r>
      <w:r>
        <w:t xml:space="preserve">PO-2025-BRIS-0487 |</w:t>
      </w:r>
      <w:r>
        <w:t xml:space="preserve"> </w:t>
      </w:r>
      <w:r>
        <w:rPr>
          <w:bCs/>
          <w:b/>
        </w:rPr>
        <w:t xml:space="preserve">Classification:</w:t>
      </w:r>
      <w:r>
        <w:t xml:space="preserve"> </w:t>
      </w:r>
      <w:r>
        <w:t xml:space="preserve">Commercial – Confidential</w:t>
      </w:r>
    </w:p>
    <w:p>
      <w:pPr>
        <w:pStyle w:val="BodyText"/>
      </w:pPr>
      <w:r>
        <w:t xml:space="preserve">This</w:t>
      </w:r>
      <w:r>
        <w:t xml:space="preserve"> </w:t>
      </w:r>
      <w:r>
        <w:t xml:space="preserve">Purchase Order</w:t>
      </w:r>
      <w:r>
        <w:t xml:space="preserve"> </w:t>
      </w:r>
      <w:r>
        <w:t xml:space="preserve">was prepared in Australia Brisbane for the procurement of pharmaceutical goods and equipment by a licensed</w:t>
      </w:r>
      <w:r>
        <w:t xml:space="preserve"> </w:t>
      </w:r>
      <w:r>
        <w:t xml:space="preserve">Pharmacist</w:t>
      </w:r>
      <w:r>
        <w:t xml:space="preserve"> </w:t>
      </w:r>
      <w:r>
        <w:t xml:space="preserve">operating under the Pharmacy Board of Australia. All terms are subject to the regulations of the State of Queensland and the Commonwealth of Australia.</w:t>
      </w:r>
    </w:p>
    <w:p>
      <w:pPr>
        <w:pStyle w:val="BodyText"/>
      </w:pPr>
      <w:r>
        <w:t xml:space="preserve">© 2025 Brisbane Central Pharmacy &amp; Dispensary Pty Ltd. All rights reserved. This document is the property of the buyer and shall not be reproduced or distributed without written permission.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Australia Brisbane</dc:title>
  <dc:creator/>
  <dc:language>en</dc:language>
  <cp:keywords/>
  <dcterms:created xsi:type="dcterms:W3CDTF">2026-10-10T04:05:30Z</dcterms:created>
  <dcterms:modified xsi:type="dcterms:W3CDTF">2026-10-10T04:05:30Z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