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Pharmaceutical Procurement &amp; Professional Services – Australia Melbourne</w:t>
      </w:r>
    </w:p>
    <w:p>
      <w:pPr>
        <w:pStyle w:val="BodyText"/>
      </w:pPr>
      <w:r>
        <w:t xml:space="preserve">PO No: PO-MEL-2025-04872</w:t>
      </w:r>
      <w:r>
        <w:t xml:space="preserve"> </w:t>
      </w:r>
      <w:r>
        <w:t xml:space="preserve">Date: 14 June 2025</w:t>
      </w:r>
      <w:r>
        <w:t xml:space="preserve"> </w:t>
      </w:r>
      <w:r>
        <w:t xml:space="preserve">Status: Issued</w:t>
      </w:r>
    </w:p>
    <w:bookmarkEnd w:id="20"/>
    <w:bookmarkStart w:id="21" w:name="buyer-pharmacist"/>
    <w:p>
      <w:pPr>
        <w:pStyle w:val="Heading3"/>
      </w:pPr>
      <w:r>
        <w:t xml:space="preserve">Buyer (Pharmacist)</w:t>
      </w:r>
    </w:p>
    <w:p>
      <w:pPr>
        <w:pStyle w:val="FirstParagraph"/>
      </w:pPr>
      <w:r>
        <w:rPr>
          <w:bCs/>
          <w:b/>
        </w:rPr>
        <w:t xml:space="preserve">Name:</w:t>
      </w:r>
      <w:r>
        <w:t xml:space="preserve"> </w:t>
      </w:r>
      <w:r>
        <w:t xml:space="preserve">Dr. Sarah Mitchell, Pharmacist</w:t>
      </w:r>
    </w:p>
    <w:p>
      <w:pPr>
        <w:pStyle w:val="BodyText"/>
      </w:pPr>
      <w:r>
        <w:rPr>
          <w:bCs/>
          <w:b/>
        </w:rPr>
        <w:t xml:space="preserve">Registration:</w:t>
      </w:r>
      <w:r>
        <w:t xml:space="preserve"> </w:t>
      </w:r>
      <w:r>
        <w:t xml:space="preserve">AHPRA Reg. No. PHM-2019-448721</w:t>
      </w:r>
    </w:p>
    <w:p>
      <w:pPr>
        <w:pStyle w:val="BodyText"/>
      </w:pPr>
      <w:r>
        <w:rPr>
          <w:bCs/>
          <w:b/>
        </w:rPr>
        <w:t xml:space="preserve">Business:</w:t>
      </w:r>
      <w:r>
        <w:t xml:space="preserve"> </w:t>
      </w:r>
      <w:r>
        <w:t xml:space="preserve">Melbourne Central Pharmacy</w:t>
      </w:r>
    </w:p>
    <w:p>
      <w:pPr>
        <w:pStyle w:val="BodyText"/>
      </w:pPr>
      <w:r>
        <w:rPr>
          <w:bCs/>
          <w:b/>
        </w:rPr>
        <w:t xml:space="preserve">Address:</w:t>
      </w:r>
      <w:r>
        <w:t xml:space="preserve"> </w:t>
      </w:r>
      <w:r>
        <w:t xml:space="preserve">42 Collins Street, Melbourne VIC 3000, Australia</w:t>
      </w:r>
    </w:p>
    <w:p>
      <w:pPr>
        <w:pStyle w:val="BodyText"/>
      </w:pPr>
      <w:r>
        <w:rPr>
          <w:bCs/>
          <w:b/>
        </w:rPr>
        <w:t xml:space="preserve">ABN:</w:t>
      </w:r>
      <w:r>
        <w:t xml:space="preserve"> </w:t>
      </w:r>
      <w:r>
        <w:t xml:space="preserve">54 123 456 789</w:t>
      </w:r>
    </w:p>
    <w:p>
      <w:pPr>
        <w:pStyle w:val="BodyText"/>
      </w:pPr>
      <w:r>
        <w:rPr>
          <w:bCs/>
          <w:b/>
        </w:rPr>
        <w:t xml:space="preserve">Email:</w:t>
      </w:r>
      <w:r>
        <w:t xml:space="preserve"> </w:t>
      </w:r>
      <w:r>
        <w:t xml:space="preserve">s.mitchell@melbcentralpharmacy.com.au</w:t>
      </w:r>
    </w:p>
    <w:p>
      <w:pPr>
        <w:pStyle w:val="BodyText"/>
      </w:pPr>
      <w:r>
        <w:rPr>
          <w:bCs/>
          <w:b/>
        </w:rPr>
        <w:t xml:space="preserve">Phone:</w:t>
      </w:r>
      <w:r>
        <w:t xml:space="preserve"> </w:t>
      </w:r>
      <w:r>
        <w:t xml:space="preserve">+61 3 9421 5567</w:t>
      </w:r>
    </w:p>
    <w:bookmarkEnd w:id="21"/>
    <w:bookmarkStart w:id="22" w:name="supplier"/>
    <w:p>
      <w:pPr>
        <w:pStyle w:val="Heading3"/>
      </w:pPr>
      <w:r>
        <w:t xml:space="preserve">Supplier</w:t>
      </w:r>
    </w:p>
    <w:p>
      <w:pPr>
        <w:pStyle w:val="FirstParagraph"/>
      </w:pPr>
      <w:r>
        <w:rPr>
          <w:bCs/>
          <w:b/>
        </w:rPr>
        <w:t xml:space="preserve">Name:</w:t>
      </w:r>
      <w:r>
        <w:t xml:space="preserve"> </w:t>
      </w:r>
      <w:r>
        <w:t xml:space="preserve">Australis Pharmaceutical Distribution Pty Ltd</w:t>
      </w:r>
    </w:p>
    <w:p>
      <w:pPr>
        <w:pStyle w:val="BodyText"/>
      </w:pPr>
      <w:r>
        <w:rPr>
          <w:bCs/>
          <w:b/>
        </w:rPr>
        <w:t xml:space="preserve">ABN:</w:t>
      </w:r>
      <w:r>
        <w:t xml:space="preserve"> </w:t>
      </w:r>
      <w:r>
        <w:t xml:space="preserve">28 987 654 321</w:t>
      </w:r>
    </w:p>
    <w:p>
      <w:pPr>
        <w:pStyle w:val="BodyText"/>
      </w:pPr>
      <w:r>
        <w:rPr>
          <w:bCs/>
          <w:b/>
        </w:rPr>
        <w:t xml:space="preserve">Address:</w:t>
      </w:r>
      <w:r>
        <w:t xml:space="preserve"> </w:t>
      </w:r>
      <w:r>
        <w:t xml:space="preserve">18 Warehouse Road, Dandenong South VIC 3175, Australia</w:t>
      </w:r>
    </w:p>
    <w:p>
      <w:pPr>
        <w:pStyle w:val="BodyText"/>
      </w:pPr>
      <w:r>
        <w:rPr>
          <w:bCs/>
          <w:b/>
        </w:rPr>
        <w:t xml:space="preserve">Contact:</w:t>
      </w:r>
      <w:r>
        <w:t xml:space="preserve"> </w:t>
      </w:r>
      <w:r>
        <w:t xml:space="preserve">Procurement Department</w:t>
      </w:r>
    </w:p>
    <w:p>
      <w:pPr>
        <w:pStyle w:val="BodyText"/>
      </w:pPr>
      <w:r>
        <w:rPr>
          <w:bCs/>
          <w:b/>
        </w:rPr>
        <w:t xml:space="preserve">Email:</w:t>
      </w:r>
      <w:r>
        <w:t xml:space="preserve"> </w:t>
      </w:r>
      <w:r>
        <w:t xml:space="preserve">orders@australispharma.com.au</w:t>
      </w:r>
    </w:p>
    <w:p>
      <w:pPr>
        <w:pStyle w:val="BodyText"/>
      </w:pPr>
      <w:r>
        <w:rPr>
          <w:bCs/>
          <w:b/>
        </w:rPr>
        <w:t xml:space="preserve">Phone:</w:t>
      </w:r>
      <w:r>
        <w:t xml:space="preserve"> </w:t>
      </w:r>
      <w:r>
        <w:t xml:space="preserve">+61 3 9792 3344</w:t>
      </w:r>
    </w:p>
    <w:bookmarkEnd w:id="22"/>
    <w:bookmarkStart w:id="24" w:name="purchase-order-line-items"/>
    <w:p>
      <w:pPr>
        <w:pStyle w:val="Heading2"/>
      </w:pPr>
      <w:r>
        <w:t xml:space="preserve">Purchase Order Line Items</w:t>
      </w:r>
    </w:p>
    <w:p>
      <w:pPr>
        <w:pStyle w:val="FirstParagraph"/>
      </w:pPr>
      <w:r>
        <w:t xml:space="preserve">This Purchase Order is issued by the undersigned Pharmacist for the procurement of pharmaceutical products, clinical supplies, and professional services required for the operation of Melbourne Central Pharmacy, located in the State of Victoria, Australia Melbourne metropolitan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001</w:t>
            </w:r>
          </w:p>
        </w:tc>
        <w:tc>
          <w:tcPr/>
          <w:p>
            <w:pPr>
              <w:pStyle w:val="Compact"/>
              <w:jc w:val="left"/>
            </w:pPr>
            <w:r>
              <w:t xml:space="preserve">Amoxicillin 500mg Capsules (1000 ct) – TGA Approved</w:t>
            </w:r>
          </w:p>
        </w:tc>
        <w:tc>
          <w:tcPr/>
          <w:p>
            <w:pPr>
              <w:pStyle w:val="Compact"/>
              <w:jc w:val="left"/>
            </w:pPr>
            <w:r>
              <w:t xml:space="preserve">Pharmaceutical</w:t>
            </w:r>
          </w:p>
        </w:tc>
        <w:tc>
          <w:tcPr/>
          <w:p>
            <w:pPr>
              <w:pStyle w:val="Compact"/>
              <w:jc w:val="left"/>
            </w:pPr>
            <w:r>
              <w:t xml:space="preserve">25</w:t>
            </w:r>
          </w:p>
        </w:tc>
        <w:tc>
          <w:tcPr/>
          <w:p>
            <w:pPr>
              <w:pStyle w:val="Compact"/>
              <w:jc w:val="left"/>
            </w:pPr>
            <w:r>
              <w:t xml:space="preserve">187.50</w:t>
            </w:r>
          </w:p>
        </w:tc>
        <w:tc>
          <w:tcPr/>
          <w:p>
            <w:pPr>
              <w:pStyle w:val="Compact"/>
              <w:jc w:val="left"/>
            </w:pPr>
            <w:r>
              <w:t xml:space="preserve">4,687.50</w:t>
            </w:r>
          </w:p>
        </w:tc>
      </w:tr>
      <w:tr>
        <w:tc>
          <w:tcPr/>
          <w:p>
            <w:pPr>
              <w:pStyle w:val="Compact"/>
              <w:jc w:val="left"/>
            </w:pPr>
            <w:r>
              <w:t xml:space="preserve">002</w:t>
            </w:r>
          </w:p>
        </w:tc>
        <w:tc>
          <w:tcPr/>
          <w:p>
            <w:pPr>
              <w:pStyle w:val="Compact"/>
              <w:jc w:val="left"/>
            </w:pPr>
            <w:r>
              <w:t xml:space="preserve">Ibuprofen 400mg Tablets (2000 ct) – TGA Approved</w:t>
            </w:r>
          </w:p>
        </w:tc>
        <w:tc>
          <w:tcPr/>
          <w:p>
            <w:pPr>
              <w:pStyle w:val="Compact"/>
              <w:jc w:val="left"/>
            </w:pPr>
            <w:r>
              <w:t xml:space="preserve">Pharmaceutical</w:t>
            </w:r>
          </w:p>
        </w:tc>
        <w:tc>
          <w:tcPr/>
          <w:p>
            <w:pPr>
              <w:pStyle w:val="Compact"/>
              <w:jc w:val="left"/>
            </w:pPr>
            <w:r>
              <w:t xml:space="preserve">40</w:t>
            </w:r>
          </w:p>
        </w:tc>
        <w:tc>
          <w:tcPr/>
          <w:p>
            <w:pPr>
              <w:pStyle w:val="Compact"/>
              <w:jc w:val="left"/>
            </w:pPr>
            <w:r>
              <w:t xml:space="preserve">94.20</w:t>
            </w:r>
          </w:p>
        </w:tc>
        <w:tc>
          <w:tcPr/>
          <w:p>
            <w:pPr>
              <w:pStyle w:val="Compact"/>
              <w:jc w:val="left"/>
            </w:pPr>
            <w:r>
              <w:t xml:space="preserve">3,768.00</w:t>
            </w:r>
          </w:p>
        </w:tc>
      </w:tr>
      <w:tr>
        <w:tc>
          <w:tcPr/>
          <w:p>
            <w:pPr>
              <w:pStyle w:val="Compact"/>
              <w:jc w:val="left"/>
            </w:pPr>
            <w:r>
              <w:t xml:space="preserve">003</w:t>
            </w:r>
          </w:p>
        </w:tc>
        <w:tc>
          <w:tcPr/>
          <w:p>
            <w:pPr>
              <w:pStyle w:val="Compact"/>
              <w:jc w:val="left"/>
            </w:pPr>
            <w:r>
              <w:t xml:space="preserve">Insulin Glargine 100 IU/mL Pen (50 units)</w:t>
            </w:r>
          </w:p>
        </w:tc>
        <w:tc>
          <w:tcPr/>
          <w:p>
            <w:pPr>
              <w:pStyle w:val="Compact"/>
              <w:jc w:val="left"/>
            </w:pPr>
            <w:r>
              <w:t xml:space="preserve">Prescription</w:t>
            </w:r>
          </w:p>
        </w:tc>
        <w:tc>
          <w:tcPr/>
          <w:p>
            <w:pPr>
              <w:pStyle w:val="Compact"/>
              <w:jc w:val="left"/>
            </w:pPr>
            <w:r>
              <w:t xml:space="preserve">60</w:t>
            </w:r>
          </w:p>
        </w:tc>
        <w:tc>
          <w:tcPr/>
          <w:p>
            <w:pPr>
              <w:pStyle w:val="Compact"/>
              <w:jc w:val="left"/>
            </w:pPr>
            <w:r>
              <w:t xml:space="preserve">112.80</w:t>
            </w:r>
          </w:p>
        </w:tc>
        <w:tc>
          <w:tcPr/>
          <w:p>
            <w:pPr>
              <w:pStyle w:val="Compact"/>
              <w:jc w:val="left"/>
            </w:pPr>
            <w:r>
              <w:t xml:space="preserve">6,768.00</w:t>
            </w:r>
          </w:p>
        </w:tc>
      </w:tr>
      <w:tr>
        <w:tc>
          <w:tcPr/>
          <w:p>
            <w:pPr>
              <w:pStyle w:val="Compact"/>
              <w:jc w:val="left"/>
            </w:pPr>
            <w:r>
              <w:t xml:space="preserve">004</w:t>
            </w:r>
          </w:p>
        </w:tc>
        <w:tc>
          <w:tcPr/>
          <w:p>
            <w:pPr>
              <w:pStyle w:val="Compact"/>
              <w:jc w:val="left"/>
            </w:pPr>
            <w:r>
              <w:t xml:space="preserve">Pharmacist-Grade Sterile Compounding Supplies Kit</w:t>
            </w:r>
          </w:p>
        </w:tc>
        <w:tc>
          <w:tcPr/>
          <w:p>
            <w:pPr>
              <w:pStyle w:val="Compact"/>
              <w:jc w:val="left"/>
            </w:pPr>
            <w:r>
              <w:t xml:space="preserve">Equipment</w:t>
            </w:r>
          </w:p>
        </w:tc>
        <w:tc>
          <w:tcPr/>
          <w:p>
            <w:pPr>
              <w:pStyle w:val="Compact"/>
              <w:jc w:val="left"/>
            </w:pPr>
            <w:r>
              <w:t xml:space="preserve">10</w:t>
            </w:r>
          </w:p>
        </w:tc>
        <w:tc>
          <w:tcPr/>
          <w:p>
            <w:pPr>
              <w:pStyle w:val="Compact"/>
              <w:jc w:val="left"/>
            </w:pPr>
            <w:r>
              <w:t xml:space="preserve">345.00</w:t>
            </w:r>
          </w:p>
        </w:tc>
        <w:tc>
          <w:tcPr/>
          <w:p>
            <w:pPr>
              <w:pStyle w:val="Compact"/>
              <w:jc w:val="left"/>
            </w:pPr>
            <w:r>
              <w:t xml:space="preserve">3,450.00</w:t>
            </w:r>
          </w:p>
        </w:tc>
      </w:tr>
      <w:tr>
        <w:tc>
          <w:tcPr/>
          <w:p>
            <w:pPr>
              <w:pStyle w:val="Compact"/>
              <w:jc w:val="left"/>
            </w:pPr>
            <w:r>
              <w:t xml:space="preserve">005</w:t>
            </w:r>
          </w:p>
        </w:tc>
        <w:tc>
          <w:tcPr/>
          <w:p>
            <w:pPr>
              <w:pStyle w:val="Compact"/>
              <w:jc w:val="left"/>
            </w:pPr>
            <w:r>
              <w:t xml:space="preserve">Automated Pill Dispensing Machine (Model PD-700)</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006</w:t>
            </w:r>
          </w:p>
        </w:tc>
        <w:tc>
          <w:tcPr/>
          <w:p>
            <w:pPr>
              <w:pStyle w:val="Compact"/>
              <w:jc w:val="left"/>
            </w:pPr>
            <w:r>
              <w:t xml:space="preserve">Pharmacist Continuing Professional Development (CPD) – 2025 Annual Accreditation Package (AHPRA Compliant)</w:t>
            </w:r>
          </w:p>
        </w:tc>
        <w:tc>
          <w:tcPr/>
          <w:p>
            <w:pPr>
              <w:pStyle w:val="Compact"/>
              <w:jc w:val="left"/>
            </w:pPr>
            <w:r>
              <w:t xml:space="preserve">Professional Service</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007</w:t>
            </w:r>
          </w:p>
        </w:tc>
        <w:tc>
          <w:tcPr/>
          <w:p>
            <w:pPr>
              <w:pStyle w:val="Compact"/>
              <w:jc w:val="left"/>
            </w:pPr>
            <w:r>
              <w:t xml:space="preserve">Refrigerated Vaccine Storage Unit (2–8°C, 200L) – Australia Melbourne Climate Rated</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4,890.00</w:t>
            </w:r>
          </w:p>
        </w:tc>
        <w:tc>
          <w:tcPr/>
          <w:p>
            <w:pPr>
              <w:pStyle w:val="Compact"/>
              <w:jc w:val="left"/>
            </w:pPr>
            <w:r>
              <w:t xml:space="preserve">9,780.00</w:t>
            </w:r>
          </w:p>
        </w:tc>
      </w:tr>
      <w:tr>
        <w:tc>
          <w:tcPr/>
          <w:p>
            <w:pPr>
              <w:pStyle w:val="Compact"/>
              <w:jc w:val="left"/>
            </w:pPr>
            <w:r>
              <w:t xml:space="preserve">008</w:t>
            </w:r>
          </w:p>
        </w:tc>
        <w:tc>
          <w:tcPr/>
          <w:p>
            <w:pPr>
              <w:pStyle w:val="Compact"/>
              <w:jc w:val="left"/>
            </w:pPr>
            <w:r>
              <w:t xml:space="preserve">Pharmacist Liability Insurance – Annual Premium (VIC, Australia)</w:t>
            </w:r>
          </w:p>
        </w:tc>
        <w:tc>
          <w:tcPr/>
          <w:p>
            <w:pPr>
              <w:pStyle w:val="Compact"/>
              <w:jc w:val="left"/>
            </w:pPr>
            <w:r>
              <w:t xml:space="preserve">Insurance</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009</w:t>
            </w:r>
          </w:p>
        </w:tc>
        <w:tc>
          <w:tcPr/>
          <w:p>
            <w:pPr>
              <w:pStyle w:val="Compact"/>
              <w:jc w:val="left"/>
            </w:pPr>
            <w:r>
              <w:t xml:space="preserve">Pharmaceutical Waste Disposal Service – Quarterly Contract (Melbourne Metro)</w:t>
            </w:r>
          </w:p>
        </w:tc>
        <w:tc>
          <w:tcPr/>
          <w:p>
            <w:pPr>
              <w:pStyle w:val="Compact"/>
              <w:jc w:val="left"/>
            </w:pPr>
            <w:r>
              <w:t xml:space="preserve">Service</w:t>
            </w:r>
          </w:p>
        </w:tc>
        <w:tc>
          <w:tcPr/>
          <w:p>
            <w:pPr>
              <w:pStyle w:val="Compact"/>
              <w:jc w:val="left"/>
            </w:pPr>
            <w:r>
              <w:t xml:space="preserve">4</w:t>
            </w:r>
          </w:p>
        </w:tc>
        <w:tc>
          <w:tcPr/>
          <w:p>
            <w:pPr>
              <w:pStyle w:val="Compact"/>
              <w:jc w:val="left"/>
            </w:pPr>
            <w:r>
              <w:t xml:space="preserve">680.00</w:t>
            </w:r>
          </w:p>
        </w:tc>
        <w:tc>
          <w:tcPr/>
          <w:p>
            <w:pPr>
              <w:pStyle w:val="Compact"/>
              <w:jc w:val="left"/>
            </w:pPr>
            <w:r>
              <w:t xml:space="preserve">2,720.00</w:t>
            </w:r>
          </w:p>
        </w:tc>
      </w:tr>
      <w:tr>
        <w:tc>
          <w:tcPr/>
          <w:p>
            <w:pPr>
              <w:pStyle w:val="Compact"/>
              <w:jc w:val="left"/>
            </w:pPr>
            <w:r>
              <w:t xml:space="preserve">010</w:t>
            </w:r>
          </w:p>
        </w:tc>
        <w:tc>
          <w:tcPr/>
          <w:p>
            <w:pPr>
              <w:pStyle w:val="Compact"/>
              <w:jc w:val="left"/>
            </w:pPr>
            <w:r>
              <w:t xml:space="preserve">Pharmacist-Approved OTC Medication Range (Mixed SKU – 500 units)</w:t>
            </w:r>
          </w:p>
        </w:tc>
        <w:tc>
          <w:tcPr/>
          <w:p>
            <w:pPr>
              <w:pStyle w:val="Compact"/>
              <w:jc w:val="left"/>
            </w:pPr>
            <w:r>
              <w:t xml:space="preserve">Pharmaceutical</w:t>
            </w:r>
          </w:p>
        </w:tc>
        <w:tc>
          <w:tcPr/>
          <w:p>
            <w:pPr>
              <w:pStyle w:val="Compact"/>
              <w:jc w:val="left"/>
            </w:pPr>
            <w:r>
              <w:t xml:space="preserve">500</w:t>
            </w:r>
          </w:p>
        </w:tc>
        <w:tc>
          <w:tcPr/>
          <w:p>
            <w:pPr>
              <w:pStyle w:val="Compact"/>
              <w:jc w:val="left"/>
            </w:pPr>
            <w:r>
              <w:t xml:space="preserve">3.20</w:t>
            </w:r>
          </w:p>
        </w:tc>
        <w:tc>
          <w:tcPr/>
          <w:p>
            <w:pPr>
              <w:pStyle w:val="Compact"/>
              <w:jc w:val="left"/>
            </w:pPr>
            <w:r>
              <w:t xml:space="preserve">1,600.00</w:t>
            </w:r>
          </w:p>
        </w:tc>
      </w:tr>
    </w:tbl>
    <w:p>
      <w:pPr>
        <w:pStyle w:val="BodyText"/>
      </w:pPr>
      <w:r>
        <w:t xml:space="preserve">Subtotal:</w:t>
      </w:r>
      <w:r>
        <w:t xml:space="preserve">$48,813.50</w:t>
      </w:r>
    </w:p>
    <w:p>
      <w:pPr>
        <w:pStyle w:val="BodyText"/>
      </w:pPr>
      <w:r>
        <w:t xml:space="preserve">GST (10% – Australia):</w:t>
      </w:r>
      <w:r>
        <w:t xml:space="preserve">$4,881.35</w:t>
      </w:r>
    </w:p>
    <w:p>
      <w:pPr>
        <w:pStyle w:val="BodyText"/>
      </w:pPr>
      <w:r>
        <w:t xml:space="preserve">Freight &amp; Delivery (Melbourne Metro):</w:t>
      </w:r>
      <w:r>
        <w:t xml:space="preserve">$425.00</w:t>
      </w:r>
    </w:p>
    <w:p>
      <w:pPr>
        <w:pStyle w:val="BodyText"/>
      </w:pPr>
      <w:r>
        <w:t xml:space="preserve">Grand Total (AUD):</w:t>
      </w:r>
      <w:r>
        <w:t xml:space="preserve">$54,119.85</w:t>
      </w:r>
    </w:p>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1. Governing Law:</w:t>
      </w:r>
      <w:r>
        <w:t xml:space="preserve"> </w:t>
      </w:r>
      <w:r>
        <w:t xml:space="preserve">This Purchase Order shall be governed by and construed in accordance with the laws of the State of Victoria, Australia Melbourne jurisdiction, and the Australian Consumer Law (ACL).</w:t>
      </w:r>
    </w:p>
    <w:p>
      <w:pPr>
        <w:numPr>
          <w:ilvl w:val="0"/>
          <w:numId w:val="1001"/>
        </w:numPr>
        <w:pStyle w:val="Compact"/>
      </w:pPr>
      <w:r>
        <w:rPr>
          <w:bCs/>
          <w:b/>
        </w:rPr>
        <w:t xml:space="preserve">2. Delivery:</w:t>
      </w:r>
      <w:r>
        <w:t xml:space="preserve"> </w:t>
      </w:r>
      <w:r>
        <w:t xml:space="preserve">All goods and services referenced in this Purchase Order shall be delivered to the Pharmacist's registered premises at 42 Collins Street, Melbourne VIC 3000, Australia, no later than 28 June 2025. Delivery times are subject to the supplier's standard lead times for Australia Melbourne metropolitan logistics.</w:t>
      </w:r>
    </w:p>
    <w:p>
      <w:pPr>
        <w:numPr>
          <w:ilvl w:val="0"/>
          <w:numId w:val="1001"/>
        </w:numPr>
        <w:pStyle w:val="Compact"/>
      </w:pPr>
      <w:r>
        <w:rPr>
          <w:bCs/>
          <w:b/>
        </w:rPr>
        <w:t xml:space="preserve">3. Payment Terms:</w:t>
      </w:r>
      <w:r>
        <w:t xml:space="preserve"> </w:t>
      </w:r>
      <w:r>
        <w:t xml:space="preserve">Payment shall be made within 30 days of the date of this Purchase Order via direct bank transfer to the supplier's nominated Australian bank account. The Pharmacist reserves the right to withhold payment for any items that do not meet the quality standards outlined in the Australian Therapeutic Goods Administration (TGA) guidelines.</w:t>
      </w:r>
    </w:p>
    <w:p>
      <w:pPr>
        <w:numPr>
          <w:ilvl w:val="0"/>
          <w:numId w:val="1001"/>
        </w:numPr>
        <w:pStyle w:val="Compact"/>
      </w:pPr>
      <w:r>
        <w:rPr>
          <w:bCs/>
          <w:b/>
        </w:rPr>
        <w:t xml:space="preserve">4. Quality Assurance:</w:t>
      </w:r>
      <w:r>
        <w:t xml:space="preserve"> </w:t>
      </w:r>
      <w:r>
        <w:t xml:space="preserve">All pharmaceutical products must comply with TGA registration and the Australian Pharmaceutical Standards. The Pharmacist, as a registered practitioner under the Pharmacy Board of Australia, holds final authority to reject any product that does not meet clinical or regulatory standards.</w:t>
      </w:r>
    </w:p>
    <w:p>
      <w:pPr>
        <w:numPr>
          <w:ilvl w:val="0"/>
          <w:numId w:val="1001"/>
        </w:numPr>
        <w:pStyle w:val="Compact"/>
      </w:pPr>
      <w:r>
        <w:rPr>
          <w:bCs/>
          <w:b/>
        </w:rPr>
        <w:t xml:space="preserve">5. Professional Services:</w:t>
      </w:r>
      <w:r>
        <w:t xml:space="preserve"> </w:t>
      </w:r>
      <w:r>
        <w:t xml:space="preserve">The CPD accreditation package and insurance services must be valid for the 2025–2026 registration period as mandated by the Pharmacy Board of Australia for all practising Pharmacists in Australia Melbourne and the broader Victorian region.</w:t>
      </w:r>
    </w:p>
    <w:p>
      <w:pPr>
        <w:numPr>
          <w:ilvl w:val="0"/>
          <w:numId w:val="1001"/>
        </w:numPr>
        <w:pStyle w:val="Compact"/>
      </w:pPr>
      <w:r>
        <w:rPr>
          <w:bCs/>
          <w:b/>
        </w:rPr>
        <w:t xml:space="preserve">6. Cancellation:</w:t>
      </w:r>
      <w:r>
        <w:t xml:space="preserve"> </w:t>
      </w:r>
      <w:r>
        <w:t xml:space="preserve">This Purchase Order may be cancelled in whole or in part by the Pharmacist with 14 days' written notice prior to the scheduled delivery date. No cancellation fee shall apply for orders cancelled within 7 days of the order date.</w:t>
      </w:r>
    </w:p>
    <w:p>
      <w:pPr>
        <w:numPr>
          <w:ilvl w:val="0"/>
          <w:numId w:val="1001"/>
        </w:numPr>
        <w:pStyle w:val="Compact"/>
      </w:pPr>
      <w:r>
        <w:rPr>
          <w:bCs/>
          <w:b/>
        </w:rPr>
        <w:t xml:space="preserve">7. Dispute Resolution:</w:t>
      </w:r>
      <w:r>
        <w:t xml:space="preserve"> </w:t>
      </w:r>
      <w:r>
        <w:t xml:space="preserve">Any disputes arising from this Purchase Order shall be resolved through mediation in Melbourne, Victoria, Australia, in accordance with the Victorian Commercial Arbitration Act 2011.</w:t>
      </w:r>
    </w:p>
    <w:p>
      <w:pPr>
        <w:numPr>
          <w:ilvl w:val="0"/>
          <w:numId w:val="1001"/>
        </w:numPr>
        <w:pStyle w:val="Compact"/>
      </w:pPr>
      <w:r>
        <w:rPr>
          <w:bCs/>
          <w:b/>
        </w:rPr>
        <w:t xml:space="preserve">8. Confidentiality:</w:t>
      </w:r>
      <w:r>
        <w:t xml:space="preserve"> </w:t>
      </w:r>
      <w:r>
        <w:t xml:space="preserve">Both parties agree to maintain the confidentiality of all commercial terms, pricing structures, and patient-related data associated with this Purchase Order in compliance with the Privacy Act 1988 (Cth) and the Australian Privacy Principles.</w:t>
      </w:r>
    </w:p>
    <w:bookmarkEnd w:id="23"/>
    <w:p>
      <w:pPr>
        <w:pStyle w:val="FirstParagraph"/>
      </w:pPr>
      <w:r>
        <w:t xml:space="preserve">Authorised by (Pharmacist / Buyer):</w:t>
      </w:r>
    </w:p>
    <w:p>
      <w:pPr>
        <w:pStyle w:val="BodyText"/>
      </w:pPr>
      <w:r>
        <w:t xml:space="preserve">Dr. Sarah Mitchell, Pharmacist</w:t>
      </w:r>
    </w:p>
    <w:p>
      <w:pPr>
        <w:pStyle w:val="BodyText"/>
      </w:pPr>
      <w:r>
        <w:t xml:space="preserve">Melbourne Central Pharmacy</w:t>
      </w:r>
    </w:p>
    <w:p>
      <w:pPr>
        <w:pStyle w:val="BodyText"/>
      </w:pPr>
      <w:r>
        <w:t xml:space="preserve">Date: _______________</w:t>
      </w:r>
    </w:p>
    <w:p>
      <w:pPr>
        <w:pStyle w:val="BodyText"/>
      </w:pPr>
      <w:r>
        <w:t xml:space="preserve">Accepted by (Supplier):</w:t>
      </w:r>
    </w:p>
    <w:p>
      <w:pPr>
        <w:pStyle w:val="BodyText"/>
      </w:pPr>
      <w:r>
        <w:t xml:space="preserve">Australis Pharmaceutical Distribution Pty Ltd</w:t>
      </w:r>
    </w:p>
    <w:p>
      <w:pPr>
        <w:pStyle w:val="BodyText"/>
      </w:pPr>
      <w:r>
        <w:t xml:space="preserve">Authorised Representative</w:t>
      </w:r>
    </w:p>
    <w:p>
      <w:pPr>
        <w:pStyle w:val="BodyText"/>
      </w:pPr>
      <w:r>
        <w:t xml:space="preserve">Date: _______________</w:t>
      </w:r>
    </w:p>
    <w:p>
      <w:pPr>
        <w:pStyle w:val="BodyText"/>
      </w:pPr>
      <w:r>
        <w:t xml:space="preserve">This Purchase Order (PO-MEL-2025-04872) is issued by a registered Pharmacist operating in Australia Melbourne, Victoria. All transactions are subject to the Pharmacy Act 1996 (Vic) and the Australian Health Practitioner Regulation Agency (AHPRA) standards. This document is valid for 60 days from the date of issue. For queries, contact the Pharmacist at the address listed above.</w:t>
      </w:r>
    </w:p>
    <w:p>
      <w:pPr>
        <w:pStyle w:val="BodyText"/>
      </w:pPr>
      <w:r>
        <w:t xml:space="preserve">© 2025 Melbourne Central Pharmacy – Australia Melbourne.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 Australia Melbourne</dc:title>
  <dc:creator/>
  <dc:language>en</dc:language>
  <cp:keywords/>
  <dcterms:created xsi:type="dcterms:W3CDTF">2026-10-10T01:53:54Z</dcterms:created>
  <dcterms:modified xsi:type="dcterms:W3CDTF">2026-10-10T01:53:54Z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