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t xml:space="preserve">Pharmacist Professional Services &amp; Pharmaceutical Supply Procurement</w:t>
      </w:r>
    </w:p>
    <w:p>
      <w:pPr>
        <w:pStyle w:val="BodyText"/>
      </w:pPr>
      <w:r>
        <w:t xml:space="preserve">Guangzhou, Guangdong Province, People's Republic of China</w:t>
      </w:r>
    </w:p>
    <w:bookmarkEnd w:id="20"/>
    <w:p>
      <w:pPr>
        <w:pStyle w:val="BodyText"/>
      </w:pPr>
      <w:r>
        <w:t xml:space="preserve">PO No.: GZ-PH-2025-004872</w:t>
      </w:r>
      <w:r>
        <w:br/>
      </w:r>
      <w:r>
        <w:t xml:space="preserve">Date of Issue: 15 June 2025</w:t>
      </w:r>
      <w:r>
        <w:br/>
      </w:r>
      <w:r>
        <w:t xml:space="preserve">Valid Until: 15 July 2025</w:t>
      </w:r>
    </w:p>
    <w:bookmarkStart w:id="21" w:name="purchasing-party-buyer"/>
    <w:p>
      <w:pPr>
        <w:pStyle w:val="Heading3"/>
      </w:pPr>
      <w:r>
        <w:t xml:space="preserve">Purchasing Party (Buyer)</w:t>
      </w:r>
    </w:p>
    <w:p>
      <w:pPr>
        <w:pStyle w:val="FirstParagraph"/>
      </w:pPr>
      <w:r>
        <w:rPr>
          <w:bCs/>
          <w:b/>
        </w:rPr>
        <w:t xml:space="preserve">Guangzhou Huacheng Medical Group Co., Ltd.</w:t>
      </w:r>
    </w:p>
    <w:p>
      <w:pPr>
        <w:pStyle w:val="BodyText"/>
      </w:pPr>
      <w:r>
        <w:t xml:space="preserve">Address: 88 Tianhe Road, Tianhe District, Guangzhou, Guangdong 510620, China</w:t>
      </w:r>
    </w:p>
    <w:p>
      <w:pPr>
        <w:pStyle w:val="BodyText"/>
      </w:pPr>
      <w:r>
        <w:t xml:space="preserve">Contact: Mr. Liang Wei, Procurement Director</w:t>
      </w:r>
    </w:p>
    <w:p>
      <w:pPr>
        <w:pStyle w:val="BodyText"/>
      </w:pPr>
      <w:r>
        <w:t xml:space="preserve">Phone: +86-20-8876-5432</w:t>
      </w:r>
    </w:p>
    <w:p>
      <w:pPr>
        <w:pStyle w:val="BodyText"/>
      </w:pPr>
      <w:r>
        <w:t xml:space="preserve">Email: procurement@huachengmed.cn</w:t>
      </w:r>
    </w:p>
    <w:p>
      <w:pPr>
        <w:pStyle w:val="BodyText"/>
      </w:pPr>
      <w:r>
        <w:t xml:space="preserve">Unified Social Credit Code: 91440101MA5C8X2K7P</w:t>
      </w:r>
    </w:p>
    <w:bookmarkEnd w:id="21"/>
    <w:bookmarkStart w:id="22" w:name="supplier-seller"/>
    <w:p>
      <w:pPr>
        <w:pStyle w:val="Heading3"/>
      </w:pPr>
      <w:r>
        <w:t xml:space="preserve">Supplier (Seller)</w:t>
      </w:r>
    </w:p>
    <w:p>
      <w:pPr>
        <w:pStyle w:val="FirstParagraph"/>
      </w:pPr>
      <w:r>
        <w:rPr>
          <w:bCs/>
          <w:b/>
        </w:rPr>
        <w:t xml:space="preserve">Guangzhou Baiyun Pharmaceutical Services Ltd.</w:t>
      </w:r>
    </w:p>
    <w:p>
      <w:pPr>
        <w:pStyle w:val="BodyText"/>
      </w:pPr>
      <w:r>
        <w:t xml:space="preserve">Address: 12 Baiyunshan Avenue, Baiyun District, Guangzhou, Guangdong 510450, China</w:t>
      </w:r>
    </w:p>
    <w:p>
      <w:pPr>
        <w:pStyle w:val="BodyText"/>
      </w:pPr>
      <w:r>
        <w:t xml:space="preserve">Contact: Dr. Chen Meiling, Lead Pharmacist &amp; Operations Manager</w:t>
      </w:r>
    </w:p>
    <w:p>
      <w:pPr>
        <w:pStyle w:val="BodyText"/>
      </w:pPr>
      <w:r>
        <w:t xml:space="preserve">Phone: +86-20-3891-2200</w:t>
      </w:r>
    </w:p>
    <w:p>
      <w:pPr>
        <w:pStyle w:val="BodyText"/>
      </w:pPr>
      <w:r>
        <w:t xml:space="preserve">Email: operations@baiyunpharma.cn</w:t>
      </w:r>
    </w:p>
    <w:p>
      <w:pPr>
        <w:pStyle w:val="BodyText"/>
      </w:pPr>
      <w:r>
        <w:t xml:space="preserve">Unified Social Credit Code: 91440111MA5D3R9T4Q</w:t>
      </w:r>
    </w:p>
    <w:bookmarkEnd w:id="22"/>
    <w:p>
      <w:pPr>
        <w:pStyle w:val="BodyText"/>
      </w:pPr>
      <w:r>
        <w:t xml:space="preserve">This</w:t>
      </w:r>
      <w:r>
        <w:t xml:space="preserve"> </w:t>
      </w:r>
      <w:r>
        <w:t xml:space="preserve">Purchase Order</w:t>
      </w:r>
      <w:r>
        <w:t xml:space="preserve"> </w:t>
      </w:r>
      <w:r>
        <w:t xml:space="preserve">is issued by Guangzhou Huacheng Medical Group Co., Ltd. (hereinafter referred to as the "Buyer") to Guangzhou Baiyun Pharmaceutical Services Ltd. (hereinafter referred to as the "Seller") for the procurement of qualified</w:t>
      </w:r>
      <w:r>
        <w:t xml:space="preserve"> </w:t>
      </w:r>
      <w:r>
        <w:t xml:space="preserve">Pharmacist</w:t>
      </w:r>
      <w:r>
        <w:t xml:space="preserve"> </w:t>
      </w:r>
      <w:r>
        <w:t xml:space="preserve">professional services and associated pharmaceutical supplies within the jurisdiction of</w:t>
      </w:r>
      <w:r>
        <w:t xml:space="preserve"> </w:t>
      </w:r>
      <w:r>
        <w:t xml:space="preserve">China Guangzhou</w:t>
      </w:r>
      <w:r>
        <w:t xml:space="preserve">. This document constitutes a binding commercial agreement upon full execution by both parties and shall be governed by the laws of the People's Republic of China, with specific reference to the Drug Administration Law of the PRC and the Guangdong Province Pharmaceutical Regulations applicable in Guangzhou.</w:t>
      </w:r>
    </w:p>
    <w:p>
      <w:pPr>
        <w:pStyle w:val="BodyText"/>
      </w:pPr>
      <w:r>
        <w:t xml:space="preserve">Line Items – Pharmacist Services &amp; Pharmaceutical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Senior Licensed Pharmacist – Full-time Clinical Pharmacy Consultation (Guangzhou Tianhe District Hospital Wing)</w:t>
            </w:r>
          </w:p>
        </w:tc>
        <w:tc>
          <w:tcPr/>
          <w:p>
            <w:pPr>
              <w:pStyle w:val="Compact"/>
              <w:jc w:val="left"/>
            </w:pPr>
            <w:r>
              <w:t xml:space="preserve">3</w:t>
            </w:r>
          </w:p>
        </w:tc>
        <w:tc>
          <w:tcPr/>
          <w:p>
            <w:pPr>
              <w:pStyle w:val="Compact"/>
              <w:jc w:val="left"/>
            </w:pPr>
            <w:r>
              <w:t xml:space="preserve">Pharmacists / month</w:t>
            </w:r>
          </w:p>
        </w:tc>
        <w:tc>
          <w:tcPr/>
          <w:p>
            <w:pPr>
              <w:pStyle w:val="Compact"/>
              <w:jc w:val="left"/>
            </w:pPr>
            <w:r>
              <w:t xml:space="preserve">28,500.00</w:t>
            </w:r>
          </w:p>
        </w:tc>
        <w:tc>
          <w:tcPr/>
          <w:p>
            <w:pPr>
              <w:pStyle w:val="Compact"/>
              <w:jc w:val="left"/>
            </w:pPr>
            <w:r>
              <w:t xml:space="preserve">85,500.00</w:t>
            </w:r>
          </w:p>
        </w:tc>
      </w:tr>
      <w:tr>
        <w:tc>
          <w:tcPr/>
          <w:p>
            <w:pPr>
              <w:pStyle w:val="Compact"/>
              <w:jc w:val="left"/>
            </w:pPr>
            <w:r>
              <w:t xml:space="preserve">02</w:t>
            </w:r>
          </w:p>
        </w:tc>
        <w:tc>
          <w:tcPr/>
          <w:p>
            <w:pPr>
              <w:pStyle w:val="Compact"/>
              <w:jc w:val="left"/>
            </w:pPr>
            <w:r>
              <w:t xml:space="preserve">Registered Pharmacist – Outpatient Prescription Review &amp; Medication Counseling (Guangzhou Yuexiu District Clinic)</w:t>
            </w:r>
          </w:p>
        </w:tc>
        <w:tc>
          <w:tcPr/>
          <w:p>
            <w:pPr>
              <w:pStyle w:val="Compact"/>
              <w:jc w:val="left"/>
            </w:pPr>
            <w:r>
              <w:t xml:space="preserve">5</w:t>
            </w:r>
          </w:p>
        </w:tc>
        <w:tc>
          <w:tcPr/>
          <w:p>
            <w:pPr>
              <w:pStyle w:val="Compact"/>
              <w:jc w:val="left"/>
            </w:pPr>
            <w:r>
              <w:t xml:space="preserve">Pharmacists / month</w:t>
            </w:r>
          </w:p>
        </w:tc>
        <w:tc>
          <w:tcPr/>
          <w:p>
            <w:pPr>
              <w:pStyle w:val="Compact"/>
              <w:jc w:val="left"/>
            </w:pPr>
            <w:r>
              <w:t xml:space="preserve">22,000.00</w:t>
            </w:r>
          </w:p>
        </w:tc>
        <w:tc>
          <w:tcPr/>
          <w:p>
            <w:pPr>
              <w:pStyle w:val="Compact"/>
              <w:jc w:val="left"/>
            </w:pPr>
            <w:r>
              <w:t xml:space="preserve">110,000.00</w:t>
            </w:r>
          </w:p>
        </w:tc>
      </w:tr>
      <w:tr>
        <w:tc>
          <w:tcPr/>
          <w:p>
            <w:pPr>
              <w:pStyle w:val="Compact"/>
              <w:jc w:val="left"/>
            </w:pPr>
            <w:r>
              <w:t xml:space="preserve">03</w:t>
            </w:r>
          </w:p>
        </w:tc>
        <w:tc>
          <w:tcPr/>
          <w:p>
            <w:pPr>
              <w:pStyle w:val="Compact"/>
              <w:jc w:val="left"/>
            </w:pPr>
            <w:r>
              <w:t xml:space="preserve">Pharmacist – Inpatient Drug Administration &amp; Adverse Reaction Monitoring (Guangzhou Haizhu District Medical Center)</w:t>
            </w:r>
          </w:p>
        </w:tc>
        <w:tc>
          <w:tcPr/>
          <w:p>
            <w:pPr>
              <w:pStyle w:val="Compact"/>
              <w:jc w:val="left"/>
            </w:pPr>
            <w:r>
              <w:t xml:space="preserve">4</w:t>
            </w:r>
          </w:p>
        </w:tc>
        <w:tc>
          <w:tcPr/>
          <w:p>
            <w:pPr>
              <w:pStyle w:val="Compact"/>
              <w:jc w:val="left"/>
            </w:pPr>
            <w:r>
              <w:t xml:space="preserve">Pharmacists / month</w:t>
            </w:r>
          </w:p>
        </w:tc>
        <w:tc>
          <w:tcPr/>
          <w:p>
            <w:pPr>
              <w:pStyle w:val="Compact"/>
              <w:jc w:val="left"/>
            </w:pPr>
            <w:r>
              <w:t xml:space="preserve">24,800.00</w:t>
            </w:r>
          </w:p>
        </w:tc>
        <w:tc>
          <w:tcPr/>
          <w:p>
            <w:pPr>
              <w:pStyle w:val="Compact"/>
              <w:jc w:val="left"/>
            </w:pPr>
            <w:r>
              <w:t xml:space="preserve">99,200.00</w:t>
            </w:r>
          </w:p>
        </w:tc>
      </w:tr>
      <w:tr>
        <w:tc>
          <w:tcPr/>
          <w:p>
            <w:pPr>
              <w:pStyle w:val="Compact"/>
              <w:jc w:val="left"/>
            </w:pPr>
            <w:r>
              <w:t xml:space="preserve">04</w:t>
            </w:r>
          </w:p>
        </w:tc>
        <w:tc>
          <w:tcPr/>
          <w:p>
            <w:pPr>
              <w:pStyle w:val="Compact"/>
              <w:jc w:val="left"/>
            </w:pPr>
            <w:r>
              <w:t xml:space="preserve">Pharmacist – Pharmaceutical Inventory Management &amp; Cold Chain Compliance (Guangzhou Panyu District Warehouse)</w:t>
            </w:r>
          </w:p>
        </w:tc>
        <w:tc>
          <w:tcPr/>
          <w:p>
            <w:pPr>
              <w:pStyle w:val="Compact"/>
              <w:jc w:val="left"/>
            </w:pPr>
            <w:r>
              <w:t xml:space="preserve">2</w:t>
            </w:r>
          </w:p>
        </w:tc>
        <w:tc>
          <w:tcPr/>
          <w:p>
            <w:pPr>
              <w:pStyle w:val="Compact"/>
              <w:jc w:val="left"/>
            </w:pPr>
            <w:r>
              <w:t xml:space="preserve">Pharmacists / month</w:t>
            </w:r>
          </w:p>
        </w:tc>
        <w:tc>
          <w:tcPr/>
          <w:p>
            <w:pPr>
              <w:pStyle w:val="Compact"/>
              <w:jc w:val="left"/>
            </w:pPr>
            <w:r>
              <w:t xml:space="preserve">20,500.00</w:t>
            </w:r>
          </w:p>
        </w:tc>
        <w:tc>
          <w:tcPr/>
          <w:p>
            <w:pPr>
              <w:pStyle w:val="Compact"/>
              <w:jc w:val="left"/>
            </w:pPr>
            <w:r>
              <w:t xml:space="preserve">41,000.00</w:t>
            </w:r>
          </w:p>
        </w:tc>
      </w:tr>
      <w:tr>
        <w:tc>
          <w:tcPr/>
          <w:p>
            <w:pPr>
              <w:pStyle w:val="Compact"/>
              <w:jc w:val="left"/>
            </w:pPr>
            <w:r>
              <w:t xml:space="preserve">05</w:t>
            </w:r>
          </w:p>
        </w:tc>
        <w:tc>
          <w:tcPr/>
          <w:p>
            <w:pPr>
              <w:pStyle w:val="Compact"/>
              <w:jc w:val="left"/>
            </w:pPr>
            <w:r>
              <w:t xml:space="preserve">Pharmacist – Regulatory Compliance &amp; NMPA Filing Support (Guangzhou Municipal Drug Administration Liaison)</w:t>
            </w:r>
          </w:p>
        </w:tc>
        <w:tc>
          <w:tcPr/>
          <w:p>
            <w:pPr>
              <w:pStyle w:val="Compact"/>
              <w:jc w:val="left"/>
            </w:pPr>
            <w:r>
              <w:t xml:space="preserve">1</w:t>
            </w:r>
          </w:p>
        </w:tc>
        <w:tc>
          <w:tcPr/>
          <w:p>
            <w:pPr>
              <w:pStyle w:val="Compact"/>
              <w:jc w:val="left"/>
            </w:pPr>
            <w:r>
              <w:t xml:space="preserve">Pharmacist / month</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06</w:t>
            </w:r>
          </w:p>
        </w:tc>
        <w:tc>
          <w:tcPr/>
          <w:p>
            <w:pPr>
              <w:pStyle w:val="Compact"/>
              <w:jc w:val="left"/>
            </w:pPr>
            <w:r>
              <w:t xml:space="preserve">Pharmaceutical Reference Materials &amp; Updated Drug Formulary (2025 Guangzhou Edition)</w:t>
            </w:r>
          </w:p>
        </w:tc>
        <w:tc>
          <w:tcPr/>
          <w:p>
            <w:pPr>
              <w:pStyle w:val="Compact"/>
              <w:jc w:val="left"/>
            </w:pPr>
            <w:r>
              <w:t xml:space="preserve">50</w:t>
            </w:r>
          </w:p>
        </w:tc>
        <w:tc>
          <w:tcPr/>
          <w:p>
            <w:pPr>
              <w:pStyle w:val="Compact"/>
              <w:jc w:val="left"/>
            </w:pPr>
            <w:r>
              <w:t xml:space="preserve">Copies</w:t>
            </w:r>
          </w:p>
        </w:tc>
        <w:tc>
          <w:tcPr/>
          <w:p>
            <w:pPr>
              <w:pStyle w:val="Compact"/>
              <w:jc w:val="left"/>
            </w:pPr>
            <w:r>
              <w:t xml:space="preserve">480.00</w:t>
            </w:r>
          </w:p>
        </w:tc>
        <w:tc>
          <w:tcPr/>
          <w:p>
            <w:pPr>
              <w:pStyle w:val="Compact"/>
              <w:jc w:val="left"/>
            </w:pPr>
            <w:r>
              <w:t xml:space="preserve">24,000.00</w:t>
            </w:r>
          </w:p>
        </w:tc>
      </w:tr>
      <w:tr>
        <w:tc>
          <w:tcPr/>
          <w:p>
            <w:pPr>
              <w:pStyle w:val="Compact"/>
              <w:jc w:val="left"/>
            </w:pPr>
            <w:r>
              <w:t xml:space="preserve">07</w:t>
            </w:r>
          </w:p>
        </w:tc>
        <w:tc>
          <w:tcPr/>
          <w:p>
            <w:pPr>
              <w:pStyle w:val="Compact"/>
              <w:jc w:val="left"/>
            </w:pPr>
            <w:r>
              <w:t xml:space="preserve">Pharmacist Continuing Education &amp; CPD Training Program (Guangzhou Pharmaceutical Association Accredited)</w:t>
            </w:r>
          </w:p>
        </w:tc>
        <w:tc>
          <w:tcPr/>
          <w:p>
            <w:pPr>
              <w:pStyle w:val="Compact"/>
              <w:jc w:val="left"/>
            </w:pPr>
            <w:r>
              <w:t xml:space="preserve">15</w:t>
            </w:r>
          </w:p>
        </w:tc>
        <w:tc>
          <w:tcPr/>
          <w:p>
            <w:pPr>
              <w:pStyle w:val="Compact"/>
              <w:jc w:val="left"/>
            </w:pPr>
            <w:r>
              <w:t xml:space="preserve">Pharmacists / session</w:t>
            </w:r>
          </w:p>
        </w:tc>
        <w:tc>
          <w:tcPr/>
          <w:p>
            <w:pPr>
              <w:pStyle w:val="Compact"/>
              <w:jc w:val="left"/>
            </w:pPr>
            <w:r>
              <w:t xml:space="preserve">1,200.00</w:t>
            </w:r>
          </w:p>
        </w:tc>
        <w:tc>
          <w:tcPr/>
          <w:p>
            <w:pPr>
              <w:pStyle w:val="Compact"/>
              <w:jc w:val="left"/>
            </w:pPr>
            <w:r>
              <w:t xml:space="preserve">18,000.00</w:t>
            </w:r>
          </w:p>
        </w:tc>
      </w:tr>
    </w:tbl>
    <w:tbl>
      <w:tblPr>
        <w:tblStyle w:val="Table"/>
        <w:tblW w:type="auto" w:w="0"/>
        <w:tblLook w:firstRow="0" w:lastRow="0" w:firstColumn="0" w:lastColumn="0" w:noHBand="0" w:noVBand="0" w:val="0000"/>
      </w:tblPr>
      <w:tblGrid>
        <w:gridCol w:w="3960"/>
        <w:gridCol w:w="3960"/>
      </w:tblGrid>
      <w:tr>
        <w:tc>
          <w:tcPr/>
          <w:p>
            <w:pPr>
              <w:pStyle w:val="Compact"/>
              <w:jc w:val="right"/>
            </w:pPr>
            <w:r>
              <w:t xml:space="preserve">Subtotal:</w:t>
            </w:r>
          </w:p>
        </w:tc>
        <w:tc>
          <w:tcPr/>
          <w:p>
            <w:pPr>
              <w:pStyle w:val="Compact"/>
              <w:jc w:val="right"/>
            </w:pPr>
            <w:r>
              <w:t xml:space="preserve">412,700.00 CNY</w:t>
            </w:r>
          </w:p>
        </w:tc>
      </w:tr>
      <w:tr>
        <w:tc>
          <w:tcPr/>
          <w:p>
            <w:pPr>
              <w:pStyle w:val="Compact"/>
              <w:jc w:val="right"/>
            </w:pPr>
            <w:r>
              <w:t xml:space="preserve">VAT (13% – Pharmaceutical Services, China Guangzhou):</w:t>
            </w:r>
          </w:p>
        </w:tc>
        <w:tc>
          <w:tcPr/>
          <w:p>
            <w:pPr>
              <w:pStyle w:val="Compact"/>
              <w:jc w:val="right"/>
            </w:pPr>
            <w:r>
              <w:t xml:space="preserve">53,651.00 CNY</w:t>
            </w:r>
          </w:p>
        </w:tc>
      </w:tr>
      <w:tr>
        <w:tc>
          <w:tcPr/>
          <w:p>
            <w:pPr>
              <w:pStyle w:val="Compact"/>
              <w:jc w:val="right"/>
            </w:pPr>
            <w:r>
              <w:t xml:space="preserve">Grand Total (CNY):</w:t>
            </w:r>
          </w:p>
        </w:tc>
        <w:tc>
          <w:tcPr/>
          <w:p>
            <w:pPr>
              <w:pStyle w:val="Compact"/>
              <w:jc w:val="right"/>
            </w:pPr>
            <w:r>
              <w:t xml:space="preserve">466,351.00 CNY</w:t>
            </w:r>
          </w:p>
        </w:tc>
      </w:tr>
    </w:tbl>
    <w:p>
      <w:pPr>
        <w:pStyle w:val="BodyText"/>
      </w:pPr>
      <w:r>
        <w:t xml:space="preserve">Terms and Conditions</w:t>
      </w:r>
    </w:p>
    <w:p>
      <w:pPr>
        <w:numPr>
          <w:ilvl w:val="0"/>
          <w:numId w:val="1001"/>
        </w:numPr>
        <w:pStyle w:val="Compact"/>
      </w:pPr>
      <w:r>
        <w:rPr>
          <w:bCs/>
          <w:b/>
        </w:rPr>
        <w:t xml:space="preserve">Scope of Engagement:</w:t>
      </w:r>
      <w:r>
        <w:t xml:space="preserve"> </w:t>
      </w:r>
      <w:r>
        <w:t xml:space="preserve">The Seller shall provide all</w:t>
      </w:r>
      <w:r>
        <w:t xml:space="preserve"> </w:t>
      </w:r>
      <w:r>
        <w:t xml:space="preserve">Pharmacist</w:t>
      </w:r>
      <w:r>
        <w:t xml:space="preserve"> </w:t>
      </w:r>
      <w:r>
        <w:t xml:space="preserve">personnel listed in the line items above, each holding a valid Chinese Licensed Pharmacist Certificate (执业药师资格证) issued by the National Medical Products Administration (NMPA) and registered with the Guangzhou Municipal Health Commission. All Pharmacist staff must be physically stationed at the designated locations within</w:t>
      </w:r>
      <w:r>
        <w:t xml:space="preserve"> </w:t>
      </w:r>
      <w:r>
        <w:t xml:space="preserve">China Guangzhou</w:t>
      </w:r>
      <w:r>
        <w:t xml:space="preserve"> </w:t>
      </w:r>
      <w:r>
        <w:t xml:space="preserve">as specified.</w:t>
      </w:r>
    </w:p>
    <w:p>
      <w:pPr>
        <w:numPr>
          <w:ilvl w:val="0"/>
          <w:numId w:val="1001"/>
        </w:numPr>
        <w:pStyle w:val="Compact"/>
      </w:pPr>
      <w:r>
        <w:rPr>
          <w:bCs/>
          <w:b/>
        </w:rPr>
        <w:t xml:space="preserve">Delivery &amp; Commencement:</w:t>
      </w:r>
      <w:r>
        <w:t xml:space="preserve"> </w:t>
      </w:r>
      <w:r>
        <w:t xml:space="preserve">All Pharmacist personnel shall report for duty no later than 1 July 2025. Pharmaceutical supplies and reference materials shall be delivered to the Buyer's Guangzhou headquarters within five (5) business days of this Purchase Order's execution.</w:t>
      </w:r>
    </w:p>
    <w:p>
      <w:pPr>
        <w:numPr>
          <w:ilvl w:val="0"/>
          <w:numId w:val="1001"/>
        </w:numPr>
        <w:pStyle w:val="Compact"/>
      </w:pPr>
      <w:r>
        <w:rPr>
          <w:bCs/>
          <w:b/>
        </w:rPr>
        <w:t xml:space="preserve">Payment Terms:</w:t>
      </w:r>
      <w:r>
        <w:t xml:space="preserve"> </w:t>
      </w:r>
      <w:r>
        <w:t xml:space="preserve">Payment shall be made via bank transfer to the Seller's designated account within thirty (30) calendar days of receipt of a valid invoice. The Buyer shall remit payment in Renminbi (CNY) to the following account: Bank of China, Guangzhou Branch, Account No. 7559 8821 0034 5678, Beneficiary: Guangzhou Baiyun Pharmaceutical Services Ltd.</w:t>
      </w:r>
    </w:p>
    <w:p>
      <w:pPr>
        <w:numPr>
          <w:ilvl w:val="0"/>
          <w:numId w:val="1001"/>
        </w:numPr>
        <w:pStyle w:val="Compact"/>
      </w:pPr>
      <w:r>
        <w:rPr>
          <w:bCs/>
          <w:b/>
        </w:rPr>
        <w:t xml:space="preserve">Compliance &amp; Licensing:</w:t>
      </w:r>
      <w:r>
        <w:t xml:space="preserve"> </w:t>
      </w:r>
      <w:r>
        <w:t xml:space="preserve">The Seller warrants that every Pharmacist deployed under this Purchase Order holds current, unexpired professional licenses valid in the Guangzhou municipality. The Seller shall maintain all necessary permits for pharmaceutical operations in accordance with the Drug Administration Law of the PRC and local Guangzhou regulations.</w:t>
      </w:r>
    </w:p>
    <w:p>
      <w:pPr>
        <w:numPr>
          <w:ilvl w:val="0"/>
          <w:numId w:val="1001"/>
        </w:numPr>
        <w:pStyle w:val="Compact"/>
      </w:pPr>
      <w:r>
        <w:rPr>
          <w:bCs/>
          <w:b/>
        </w:rPr>
        <w:t xml:space="preserve">Performance Standards:</w:t>
      </w:r>
      <w:r>
        <w:t xml:space="preserve"> </w:t>
      </w:r>
      <w:r>
        <w:t xml:space="preserve">Pharmacist personnel shall adhere to the clinical pharmacy practice guidelines established by the Guangzhou Medical Association and the Guangdong Provincial Health Commission. Failure to meet service-level benchmarks for two consecutive months shall entitle the Buyer to terminate this Purchase Order with fourteen (14) days' written notice.</w:t>
      </w:r>
    </w:p>
    <w:p>
      <w:pPr>
        <w:numPr>
          <w:ilvl w:val="0"/>
          <w:numId w:val="1001"/>
        </w:numPr>
        <w:pStyle w:val="Compact"/>
      </w:pPr>
      <w:r>
        <w:rPr>
          <w:bCs/>
          <w:b/>
        </w:rPr>
        <w:t xml:space="preserve">Confidentiality:</w:t>
      </w:r>
      <w:r>
        <w:t xml:space="preserve"> </w:t>
      </w:r>
      <w:r>
        <w:t xml:space="preserve">Both parties agree to maintain strict confidentiality regarding patient data, proprietary pharmaceutical formulations, and commercial terms. All Pharmacist staff shall sign individual Non-Disclosure Agreements compliant with the Personal Information Protection Law of the PRC before commencing duties in Guangzhou.</w:t>
      </w:r>
    </w:p>
    <w:p>
      <w:pPr>
        <w:numPr>
          <w:ilvl w:val="0"/>
          <w:numId w:val="1001"/>
        </w:numPr>
        <w:pStyle w:val="Compact"/>
      </w:pPr>
      <w:r>
        <w:rPr>
          <w:bCs/>
          <w:b/>
        </w:rPr>
        <w:t xml:space="preserve">Dispute Resolution:</w:t>
      </w:r>
      <w:r>
        <w:t xml:space="preserve"> </w:t>
      </w:r>
      <w:r>
        <w:t xml:space="preserve">Any disputes arising from this Purchase Order shall first be resolved through amicable negotiation. Should negotiation fail, the matter shall be submitted to the Guangzhou International Arbitration Center (GIAC) for binding arbitration in accordance with its rules. The seat of arbitration shall be Guangzhou, China.</w:t>
      </w:r>
    </w:p>
    <w:p>
      <w:pPr>
        <w:numPr>
          <w:ilvl w:val="0"/>
          <w:numId w:val="1001"/>
        </w:numPr>
        <w:pStyle w:val="Compact"/>
      </w:pPr>
      <w:r>
        <w:rPr>
          <w:bCs/>
          <w:b/>
        </w:rPr>
        <w:t xml:space="preserve">Force Majeure:</w:t>
      </w:r>
      <w:r>
        <w:t xml:space="preserve"> </w:t>
      </w:r>
      <w:r>
        <w:t xml:space="preserve">Neither party shall be liable for delays or failures in performance caused by events beyond reasonable control, including but not limited to natural disasters, government-mandated closures in Guangzhou, or public health emergencies as declared by the Guangzhou Municipal Government.</w:t>
      </w:r>
    </w:p>
    <w:p>
      <w:pPr>
        <w:numPr>
          <w:ilvl w:val="0"/>
          <w:numId w:val="1001"/>
        </w:numPr>
        <w:pStyle w:val="Compact"/>
      </w:pPr>
      <w:r>
        <w:rPr>
          <w:bCs/>
          <w:b/>
        </w:rPr>
        <w:t xml:space="preserve">Governing Law:</w:t>
      </w:r>
      <w:r>
        <w:t xml:space="preserve"> </w:t>
      </w:r>
      <w:r>
        <w:t xml:space="preserve">This Purchase Order shall be governed by and construed in accordance with the Civil Code of the People's Republic of China and applicable pharmaceutical regulations in force in Guangzhou, Guangdong Province.</w:t>
      </w:r>
    </w:p>
    <w:p>
      <w:pPr>
        <w:numPr>
          <w:ilvl w:val="0"/>
          <w:numId w:val="1001"/>
        </w:numPr>
        <w:pStyle w:val="Compact"/>
      </w:pPr>
      <w:r>
        <w:rPr>
          <w:bCs/>
          <w:b/>
        </w:rPr>
        <w:t xml:space="preserve">Amendments:</w:t>
      </w:r>
      <w:r>
        <w:t xml:space="preserve"> </w:t>
      </w:r>
      <w:r>
        <w:t xml:space="preserve">No modification to this Purchase Order shall be valid unless made in writing and signed by authorized representatives of both parties. Any change in Pharmacist staffing levels, service locations within China Guangzhou, or pricing shall require a formal amendment annexed to this document.</w:t>
      </w:r>
    </w:p>
    <w:p>
      <w:pPr>
        <w:pStyle w:val="FirstParagraph"/>
      </w:pPr>
      <w:r>
        <w:t xml:space="preserve">Authorized Signatures</w:t>
      </w:r>
    </w:p>
    <w:p>
      <w:pPr>
        <w:pStyle w:val="BodyText"/>
      </w:pPr>
      <w:r>
        <w:rPr>
          <w:bCs/>
          <w:b/>
        </w:rPr>
        <w:t xml:space="preserve">For and on behalf of the Buyer:</w:t>
      </w:r>
    </w:p>
    <w:p>
      <w:pPr>
        <w:pStyle w:val="BodyText"/>
      </w:pPr>
      <w:r>
        <w:t xml:space="preserve">Guangzhou Huacheng Medical Group Co., Ltd.</w:t>
      </w:r>
    </w:p>
    <w:p>
      <w:pPr>
        <w:pStyle w:val="BodyText"/>
      </w:pPr>
      <w:r>
        <w:t xml:space="preserve">Name: Liang Wei</w:t>
      </w:r>
      <w:r>
        <w:br/>
      </w:r>
      <w:r>
        <w:t xml:space="preserve">Title: Procurement Director</w:t>
      </w:r>
      <w:r>
        <w:br/>
      </w:r>
      <w:r>
        <w:t xml:space="preserve">Date: _______________</w:t>
      </w:r>
    </w:p>
    <w:p>
      <w:pPr>
        <w:pStyle w:val="BodyText"/>
      </w:pPr>
      <w:r>
        <w:rPr>
          <w:bCs/>
          <w:b/>
        </w:rPr>
        <w:t xml:space="preserve">For and on behalf of the Seller:</w:t>
      </w:r>
    </w:p>
    <w:p>
      <w:pPr>
        <w:pStyle w:val="BodyText"/>
      </w:pPr>
      <w:r>
        <w:t xml:space="preserve">Guangzhou Baiyun Pharmaceutical Services Ltd.</w:t>
      </w:r>
    </w:p>
    <w:p>
      <w:pPr>
        <w:pStyle w:val="BodyText"/>
      </w:pPr>
      <w:r>
        <w:t xml:space="preserve">Name: Chen Meiling, Pharm.D.</w:t>
      </w:r>
      <w:r>
        <w:br/>
      </w:r>
      <w:r>
        <w:t xml:space="preserve">Title: Lead Pharmacist &amp; Operations Manager</w:t>
      </w:r>
      <w:r>
        <w:br/>
      </w:r>
      <w:r>
        <w:t xml:space="preserve">Date: _______________</w:t>
      </w:r>
    </w:p>
    <w:p>
      <w:pPr>
        <w:pStyle w:val="BodyText"/>
      </w:pPr>
      <w:r>
        <w:t xml:space="preserve">This Purchase Order (No. GZ-PH-2025-004872) is issued in duplicate, one copy for each party. Both copies carry equal legal validity.</w:t>
      </w:r>
    </w:p>
    <w:p>
      <w:pPr>
        <w:pStyle w:val="BodyText"/>
      </w:pPr>
      <w:r>
        <w:t xml:space="preserve">Document prepared in Guangzhou, Guangdong Province, People's Republic of China. All references to "China Guangzhou" denote the municipal administrative area of Guangzhou City, Guangdong Province, PRC.</w:t>
      </w:r>
    </w:p>
    <w:p>
      <w:pPr>
        <w:pStyle w:val="BodyText"/>
      </w:pPr>
      <w:r>
        <w:t xml:space="preserve">© 2025 Guangzhou Huacheng Medical Group Co., Ltd.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Services - China Guangzhou</dc:title>
  <dc:creator/>
  <dc:language>en</dc:language>
  <cp:keywords/>
  <dcterms:created xsi:type="dcterms:W3CDTF">2026-10-10T03:39:18Z</dcterms:created>
  <dcterms:modified xsi:type="dcterms:W3CDTF">2026-10-10T03:39:18Z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