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Pharmacie du Vieux Port — Marseille, France</w:t>
      </w:r>
    </w:p>
    <w:p>
      <w:pPr>
        <w:pStyle w:val="BodyText"/>
      </w:pPr>
      <w:r>
        <w:t xml:space="preserve">Official Procurement Document for Pharmaceutical Goods and Supplies</w:t>
      </w:r>
    </w:p>
    <w:p>
      <w:pPr>
        <w:pStyle w:val="BodyText"/>
      </w:pPr>
      <w:r>
        <w:t xml:space="preserve">PO No: FR-MRS-2025-04782</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FR-MRS-2025-04782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28 June 2025</w:t>
            </w:r>
          </w:p>
        </w:tc>
      </w:tr>
      <w:tr>
        <w:tc>
          <w:tcPr/>
          <w:p>
            <w:pPr>
              <w:pStyle w:val="Compact"/>
              <w:jc w:val="left"/>
            </w:pPr>
            <w:r>
              <w:rPr>
                <w:bCs/>
                <w:b/>
              </w:rPr>
              <w:t xml:space="preserve">Payment Terms:</w:t>
            </w:r>
          </w:p>
        </w:tc>
        <w:tc>
          <w:tcPr/>
          <w:p>
            <w:pPr>
              <w:pStyle w:val="Compact"/>
              <w:jc w:val="left"/>
            </w:pPr>
            <w:r>
              <w:t xml:space="preserve">Net 30 days from invoice date, per French commercial code (Code de commerce)</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Governing Jurisdiction:</w:t>
            </w:r>
          </w:p>
        </w:tc>
        <w:tc>
          <w:tcPr/>
          <w:p>
            <w:pPr>
              <w:pStyle w:val="Compact"/>
              <w:jc w:val="left"/>
            </w:pPr>
            <w:r>
              <w:t xml:space="preserve">France — Bouches-du-Rène Department, Marseille</w:t>
            </w:r>
          </w:p>
        </w:tc>
      </w:tr>
    </w:tbl>
    <w:bookmarkEnd w:id="21"/>
    <w:bookmarkStart w:id="24" w:name="parties-to-this-purchase-order"/>
    <w:p>
      <w:pPr>
        <w:pStyle w:val="Heading2"/>
      </w:pPr>
      <w:r>
        <w:t xml:space="preserve">2. Parties to This Purchase Order</w:t>
      </w:r>
    </w:p>
    <w:bookmarkStart w:id="22" w:name="buyer-pharmacist"/>
    <w:p>
      <w:pPr>
        <w:pStyle w:val="Heading3"/>
      </w:pPr>
      <w:r>
        <w:t xml:space="preserve">Buyer (Pharmacist)</w:t>
      </w:r>
    </w:p>
    <w:p>
      <w:pPr>
        <w:pStyle w:val="FirstParagraph"/>
      </w:pPr>
      <w:r>
        <w:rPr>
          <w:bCs/>
          <w:b/>
        </w:rPr>
        <w:t xml:space="preserve">Name:</w:t>
      </w:r>
      <w:r>
        <w:t xml:space="preserve"> </w:t>
      </w:r>
      <w:r>
        <w:t xml:space="preserve">Dr. Éloise Marchand, PharmD</w:t>
      </w:r>
    </w:p>
    <w:p>
      <w:pPr>
        <w:pStyle w:val="BodyText"/>
      </w:pPr>
      <w:r>
        <w:rPr>
          <w:bCs/>
          <w:b/>
        </w:rPr>
        <w:t xml:space="preserve">Title:</w:t>
      </w:r>
      <w:r>
        <w:t xml:space="preserve"> </w:t>
      </w:r>
      <w:r>
        <w:t xml:space="preserve">Licensed Pharmacist &amp; Proprietor</w:t>
      </w:r>
    </w:p>
    <w:p>
      <w:pPr>
        <w:pStyle w:val="BodyText"/>
      </w:pPr>
      <w:r>
        <w:rPr>
          <w:bCs/>
          <w:b/>
        </w:rPr>
        <w:t xml:space="preserve">Establishment:</w:t>
      </w:r>
      <w:r>
        <w:t xml:space="preserve"> </w:t>
      </w:r>
      <w:r>
        <w:t xml:space="preserve">Pharmacie du Vieux Port</w:t>
      </w:r>
    </w:p>
    <w:p>
      <w:pPr>
        <w:pStyle w:val="BodyText"/>
      </w:pPr>
      <w:r>
        <w:rPr>
          <w:bCs/>
          <w:b/>
        </w:rPr>
        <w:t xml:space="preserve">Address:</w:t>
      </w:r>
      <w:r>
        <w:t xml:space="preserve"> </w:t>
      </w:r>
      <w:r>
        <w:t xml:space="preserve">12 Quai de Rive Neuve, 13007 Marseille, France</w:t>
      </w:r>
    </w:p>
    <w:p>
      <w:pPr>
        <w:pStyle w:val="BodyText"/>
      </w:pPr>
      <w:r>
        <w:rPr>
          <w:bCs/>
          <w:b/>
        </w:rPr>
        <w:t xml:space="preserve">Phone:</w:t>
      </w:r>
      <w:r>
        <w:t xml:space="preserve"> </w:t>
      </w:r>
      <w:r>
        <w:t xml:space="preserve">+33 4 91 54 22 87</w:t>
      </w:r>
    </w:p>
    <w:p>
      <w:pPr>
        <w:pStyle w:val="BodyText"/>
      </w:pPr>
      <w:r>
        <w:rPr>
          <w:bCs/>
          <w:b/>
        </w:rPr>
        <w:t xml:space="preserve">Email:</w:t>
      </w:r>
      <w:r>
        <w:t xml:space="preserve"> </w:t>
      </w:r>
      <w:r>
        <w:t xml:space="preserve">e.marchand@pharmacie-vieuxport.fr</w:t>
      </w:r>
    </w:p>
    <w:p>
      <w:pPr>
        <w:pStyle w:val="BodyText"/>
      </w:pPr>
      <w:r>
        <w:rPr>
          <w:bCs/>
          <w:b/>
        </w:rPr>
        <w:t xml:space="preserve">Ordre des Pharmaciens No:</w:t>
      </w:r>
      <w:r>
        <w:t xml:space="preserve"> </w:t>
      </w:r>
      <w:r>
        <w:t xml:space="preserve">13-2019-4471</w:t>
      </w:r>
    </w:p>
    <w:p>
      <w:pPr>
        <w:pStyle w:val="BodyText"/>
      </w:pPr>
      <w:r>
        <w:rPr>
          <w:bCs/>
          <w:b/>
        </w:rPr>
        <w:t xml:space="preserve">SIRET:</w:t>
      </w:r>
      <w:r>
        <w:t xml:space="preserve"> </w:t>
      </w:r>
      <w:r>
        <w:t xml:space="preserve">842 551 337 00012</w:t>
      </w:r>
    </w:p>
    <w:bookmarkEnd w:id="22"/>
    <w:bookmarkStart w:id="23" w:name="supplier"/>
    <w:p>
      <w:pPr>
        <w:pStyle w:val="Heading3"/>
      </w:pPr>
      <w:r>
        <w:t xml:space="preserve">Supplier</w:t>
      </w:r>
    </w:p>
    <w:p>
      <w:pPr>
        <w:pStyle w:val="FirstParagraph"/>
      </w:pPr>
      <w:r>
        <w:rPr>
          <w:bCs/>
          <w:b/>
        </w:rPr>
        <w:t xml:space="preserve">Name:</w:t>
      </w:r>
      <w:r>
        <w:t xml:space="preserve"> </w:t>
      </w:r>
      <w:r>
        <w:t xml:space="preserve">Laboratoires Méditerranéens SAS</w:t>
      </w:r>
    </w:p>
    <w:p>
      <w:pPr>
        <w:pStyle w:val="BodyText"/>
      </w:pPr>
      <w:r>
        <w:rPr>
          <w:bCs/>
          <w:b/>
        </w:rPr>
        <w:t xml:space="preserve">Address:</w:t>
      </w:r>
      <w:r>
        <w:t xml:space="preserve"> </w:t>
      </w:r>
      <w:r>
        <w:t xml:space="preserve">45 Avenue du Prado, 13008 Marseille, France</w:t>
      </w:r>
    </w:p>
    <w:p>
      <w:pPr>
        <w:pStyle w:val="BodyText"/>
      </w:pPr>
      <w:r>
        <w:rPr>
          <w:bCs/>
          <w:b/>
        </w:rPr>
        <w:t xml:space="preserve">Phone:</w:t>
      </w:r>
      <w:r>
        <w:t xml:space="preserve"> </w:t>
      </w:r>
      <w:r>
        <w:t xml:space="preserve">+33 4 91 33 78 02</w:t>
      </w:r>
    </w:p>
    <w:p>
      <w:pPr>
        <w:pStyle w:val="BodyText"/>
      </w:pPr>
      <w:r>
        <w:rPr>
          <w:bCs/>
          <w:b/>
        </w:rPr>
        <w:t xml:space="preserve">Email:</w:t>
      </w:r>
      <w:r>
        <w:t xml:space="preserve"> </w:t>
      </w:r>
      <w:r>
        <w:t xml:space="preserve">commandes@lab-mediterraneens.fr</w:t>
      </w:r>
    </w:p>
    <w:p>
      <w:pPr>
        <w:pStyle w:val="BodyText"/>
      </w:pPr>
      <w:r>
        <w:rPr>
          <w:bCs/>
          <w:b/>
        </w:rPr>
        <w:t xml:space="preserve">SIRET:</w:t>
      </w:r>
      <w:r>
        <w:t xml:space="preserve"> </w:t>
      </w:r>
      <w:r>
        <w:t xml:space="preserve">728 904 115 00021</w:t>
      </w:r>
    </w:p>
    <w:p>
      <w:pPr>
        <w:pStyle w:val="BodyText"/>
      </w:pPr>
      <w:r>
        <w:rPr>
          <w:bCs/>
          <w:b/>
        </w:rPr>
        <w:t xml:space="preserve">VAT No (TVA):</w:t>
      </w:r>
      <w:r>
        <w:t xml:space="preserve"> </w:t>
      </w:r>
      <w:r>
        <w:t xml:space="preserve">FR 44 728904115</w:t>
      </w:r>
    </w:p>
    <w:bookmarkEnd w:id="23"/>
    <w:bookmarkEnd w:id="24"/>
    <w:bookmarkStart w:id="25" w:name="items-ordered"/>
    <w:p>
      <w:pPr>
        <w:pStyle w:val="Heading2"/>
      </w:pPr>
      <w:r>
        <w:t xml:space="preserve">3. Items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Product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Amoxicillin 500 mg capsules, 28-count blister (ANSM registered)</w:t>
            </w:r>
          </w:p>
        </w:tc>
        <w:tc>
          <w:tcPr/>
          <w:p>
            <w:pPr>
              <w:pStyle w:val="Compact"/>
              <w:jc w:val="left"/>
            </w:pPr>
            <w:r>
              <w:t xml:space="preserve">Box</w:t>
            </w:r>
          </w:p>
        </w:tc>
        <w:tc>
          <w:tcPr/>
          <w:p>
            <w:pPr>
              <w:pStyle w:val="Compact"/>
              <w:jc w:val="left"/>
            </w:pPr>
            <w:r>
              <w:t xml:space="preserve">120</w:t>
            </w:r>
          </w:p>
        </w:tc>
        <w:tc>
          <w:tcPr/>
          <w:p>
            <w:pPr>
              <w:pStyle w:val="Compact"/>
              <w:jc w:val="left"/>
            </w:pPr>
            <w:r>
              <w:t xml:space="preserve">4.85</w:t>
            </w:r>
          </w:p>
        </w:tc>
        <w:tc>
          <w:tcPr/>
          <w:p>
            <w:pPr>
              <w:pStyle w:val="Compact"/>
              <w:jc w:val="left"/>
            </w:pPr>
            <w:r>
              <w:t xml:space="preserve">582.00</w:t>
            </w:r>
          </w:p>
        </w:tc>
      </w:tr>
      <w:tr>
        <w:tc>
          <w:tcPr/>
          <w:p>
            <w:pPr>
              <w:pStyle w:val="Compact"/>
              <w:jc w:val="left"/>
            </w:pPr>
            <w:r>
              <w:t xml:space="preserve">02</w:t>
            </w:r>
          </w:p>
        </w:tc>
        <w:tc>
          <w:tcPr/>
          <w:p>
            <w:pPr>
              <w:pStyle w:val="Compact"/>
              <w:jc w:val="left"/>
            </w:pPr>
            <w:r>
              <w:t xml:space="preserve">Ibuprofen 400 mg tablets, 30-count strip</w:t>
            </w:r>
          </w:p>
        </w:tc>
        <w:tc>
          <w:tcPr/>
          <w:p>
            <w:pPr>
              <w:pStyle w:val="Compact"/>
              <w:jc w:val="left"/>
            </w:pPr>
            <w:r>
              <w:t xml:space="preserve">Box</w:t>
            </w:r>
          </w:p>
        </w:tc>
        <w:tc>
          <w:tcPr/>
          <w:p>
            <w:pPr>
              <w:pStyle w:val="Compact"/>
              <w:jc w:val="left"/>
            </w:pPr>
            <w:r>
              <w:t xml:space="preserve">200</w:t>
            </w:r>
          </w:p>
        </w:tc>
        <w:tc>
          <w:tcPr/>
          <w:p>
            <w:pPr>
              <w:pStyle w:val="Compact"/>
              <w:jc w:val="left"/>
            </w:pPr>
            <w:r>
              <w:t xml:space="preserve">2.30</w:t>
            </w:r>
          </w:p>
        </w:tc>
        <w:tc>
          <w:tcPr/>
          <w:p>
            <w:pPr>
              <w:pStyle w:val="Compact"/>
              <w:jc w:val="left"/>
            </w:pPr>
            <w:r>
              <w:t xml:space="preserve">460.00</w:t>
            </w:r>
          </w:p>
        </w:tc>
      </w:tr>
      <w:tr>
        <w:tc>
          <w:tcPr/>
          <w:p>
            <w:pPr>
              <w:pStyle w:val="Compact"/>
              <w:jc w:val="left"/>
            </w:pPr>
            <w:r>
              <w:t xml:space="preserve">03</w:t>
            </w:r>
          </w:p>
        </w:tc>
        <w:tc>
          <w:tcPr/>
          <w:p>
            <w:pPr>
              <w:pStyle w:val="Compact"/>
              <w:jc w:val="left"/>
            </w:pPr>
            <w:r>
              <w:t xml:space="preserve">Paracetamol 1 g effervescent tablets, 16-count tube</w:t>
            </w:r>
          </w:p>
        </w:tc>
        <w:tc>
          <w:tcPr/>
          <w:p>
            <w:pPr>
              <w:pStyle w:val="Compact"/>
              <w:jc w:val="left"/>
            </w:pPr>
            <w:r>
              <w:t xml:space="preserve">Box</w:t>
            </w:r>
          </w:p>
        </w:tc>
        <w:tc>
          <w:tcPr/>
          <w:p>
            <w:pPr>
              <w:pStyle w:val="Compact"/>
              <w:jc w:val="left"/>
            </w:pPr>
            <w:r>
              <w:t xml:space="preserve">150</w:t>
            </w:r>
          </w:p>
        </w:tc>
        <w:tc>
          <w:tcPr/>
          <w:p>
            <w:pPr>
              <w:pStyle w:val="Compact"/>
              <w:jc w:val="left"/>
            </w:pPr>
            <w:r>
              <w:t xml:space="preserve">3.15</w:t>
            </w:r>
          </w:p>
        </w:tc>
        <w:tc>
          <w:tcPr/>
          <w:p>
            <w:pPr>
              <w:pStyle w:val="Compact"/>
              <w:jc w:val="left"/>
            </w:pPr>
            <w:r>
              <w:t xml:space="preserve">472.50</w:t>
            </w:r>
          </w:p>
        </w:tc>
      </w:tr>
      <w:tr>
        <w:tc>
          <w:tcPr/>
          <w:p>
            <w:pPr>
              <w:pStyle w:val="Compact"/>
              <w:jc w:val="left"/>
            </w:pPr>
            <w:r>
              <w:t xml:space="preserve">04</w:t>
            </w:r>
          </w:p>
        </w:tc>
        <w:tc>
          <w:tcPr/>
          <w:p>
            <w:pPr>
              <w:pStyle w:val="Compact"/>
              <w:jc w:val="left"/>
            </w:pPr>
            <w:r>
              <w:t xml:space="preserve">Salbutamol 100 µg inhaler, 200 doses (prescription-only)</w:t>
            </w:r>
          </w:p>
        </w:tc>
        <w:tc>
          <w:tcPr/>
          <w:p>
            <w:pPr>
              <w:pStyle w:val="Compact"/>
              <w:jc w:val="left"/>
            </w:pPr>
            <w:r>
              <w:t xml:space="preserve">Unit</w:t>
            </w:r>
          </w:p>
        </w:tc>
        <w:tc>
          <w:tcPr/>
          <w:p>
            <w:pPr>
              <w:pStyle w:val="Compact"/>
              <w:jc w:val="left"/>
            </w:pPr>
            <w:r>
              <w:t xml:space="preserve">80</w:t>
            </w:r>
          </w:p>
        </w:tc>
        <w:tc>
          <w:tcPr/>
          <w:p>
            <w:pPr>
              <w:pStyle w:val="Compact"/>
              <w:jc w:val="left"/>
            </w:pPr>
            <w:r>
              <w:t xml:space="preserve">7.90</w:t>
            </w:r>
          </w:p>
        </w:tc>
        <w:tc>
          <w:tcPr/>
          <w:p>
            <w:pPr>
              <w:pStyle w:val="Compact"/>
              <w:jc w:val="left"/>
            </w:pPr>
            <w:r>
              <w:t xml:space="preserve">632.00</w:t>
            </w:r>
          </w:p>
        </w:tc>
      </w:tr>
      <w:tr>
        <w:tc>
          <w:tcPr/>
          <w:p>
            <w:pPr>
              <w:pStyle w:val="Compact"/>
              <w:jc w:val="left"/>
            </w:pPr>
            <w:r>
              <w:t xml:space="preserve">05</w:t>
            </w:r>
          </w:p>
        </w:tc>
        <w:tc>
          <w:tcPr/>
          <w:p>
            <w:pPr>
              <w:pStyle w:val="Compact"/>
              <w:jc w:val="left"/>
            </w:pPr>
            <w:r>
              <w:t xml:space="preserve">Metformin 850 mg tablets, 60-count bottle</w:t>
            </w:r>
          </w:p>
        </w:tc>
        <w:tc>
          <w:tcPr/>
          <w:p>
            <w:pPr>
              <w:pStyle w:val="Compact"/>
              <w:jc w:val="left"/>
            </w:pPr>
            <w:r>
              <w:t xml:space="preserve">Box</w:t>
            </w:r>
          </w:p>
        </w:tc>
        <w:tc>
          <w:tcPr/>
          <w:p>
            <w:pPr>
              <w:pStyle w:val="Compact"/>
              <w:jc w:val="left"/>
            </w:pPr>
            <w:r>
              <w:t xml:space="preserve">100</w:t>
            </w:r>
          </w:p>
        </w:tc>
        <w:tc>
          <w:tcPr/>
          <w:p>
            <w:pPr>
              <w:pStyle w:val="Compact"/>
              <w:jc w:val="left"/>
            </w:pPr>
            <w:r>
              <w:t xml:space="preserve">5.40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Pharmaceutical-grade nitrile gloves, size M, 100-count box</w:t>
            </w:r>
          </w:p>
        </w:tc>
        <w:tc>
          <w:tcPr/>
          <w:p>
            <w:pPr>
              <w:pStyle w:val="Compact"/>
              <w:jc w:val="left"/>
            </w:pPr>
            <w:r>
              <w:t xml:space="preserve">Box</w:t>
            </w:r>
          </w:p>
        </w:tc>
        <w:tc>
          <w:tcPr/>
          <w:p>
            <w:pPr>
              <w:pStyle w:val="Compact"/>
              <w:jc w:val="left"/>
            </w:pPr>
            <w:r>
              <w:t xml:space="preserve">50</w:t>
            </w:r>
          </w:p>
        </w:tc>
        <w:tc>
          <w:tcPr/>
          <w:p>
            <w:pPr>
              <w:pStyle w:val="Compact"/>
              <w:jc w:val="left"/>
            </w:pPr>
            <w:r>
              <w:t xml:space="preserve">6.20</w:t>
            </w:r>
          </w:p>
        </w:tc>
        <w:tc>
          <w:tcPr/>
          <w:p>
            <w:pPr>
              <w:pStyle w:val="Compact"/>
              <w:jc w:val="left"/>
            </w:pPr>
            <w:r>
              <w:t xml:space="preserve">310.00</w:t>
            </w:r>
          </w:p>
        </w:tc>
      </w:tr>
      <w:tr>
        <w:tc>
          <w:tcPr/>
          <w:p>
            <w:pPr>
              <w:pStyle w:val="Compact"/>
              <w:jc w:val="left"/>
            </w:pPr>
            <w:r>
              <w:t xml:space="preserve">07</w:t>
            </w:r>
          </w:p>
        </w:tc>
        <w:tc>
          <w:tcPr/>
          <w:p>
            <w:pPr>
              <w:pStyle w:val="Compact"/>
              <w:jc w:val="left"/>
            </w:pPr>
            <w:r>
              <w:t xml:space="preserve">Sterile gauze compresses 10x10 cm, 10-pack</w:t>
            </w:r>
          </w:p>
        </w:tc>
        <w:tc>
          <w:tcPr/>
          <w:p>
            <w:pPr>
              <w:pStyle w:val="Compact"/>
              <w:jc w:val="left"/>
            </w:pPr>
            <w:r>
              <w:t xml:space="preserve">Pack</w:t>
            </w:r>
          </w:p>
        </w:tc>
        <w:tc>
          <w:tcPr/>
          <w:p>
            <w:pPr>
              <w:pStyle w:val="Compact"/>
              <w:jc w:val="left"/>
            </w:pPr>
            <w:r>
              <w:t xml:space="preserve">200</w:t>
            </w:r>
          </w:p>
        </w:tc>
        <w:tc>
          <w:tcPr/>
          <w:p>
            <w:pPr>
              <w:pStyle w:val="Compact"/>
              <w:jc w:val="left"/>
            </w:pPr>
            <w:r>
              <w:t xml:space="preserve">1.85</w:t>
            </w:r>
          </w:p>
        </w:tc>
        <w:tc>
          <w:tcPr/>
          <w:p>
            <w:pPr>
              <w:pStyle w:val="Compact"/>
              <w:jc w:val="left"/>
            </w:pPr>
            <w:r>
              <w:t xml:space="preserve">370.00</w:t>
            </w:r>
          </w:p>
        </w:tc>
      </w:tr>
      <w:tr>
        <w:tc>
          <w:tcPr/>
          <w:p>
            <w:pPr>
              <w:pStyle w:val="Compact"/>
              <w:jc w:val="left"/>
            </w:pPr>
            <w:r>
              <w:t xml:space="preserve">08</w:t>
            </w:r>
          </w:p>
        </w:tc>
        <w:tc>
          <w:tcPr/>
          <w:p>
            <w:pPr>
              <w:pStyle w:val="Compact"/>
              <w:jc w:val="left"/>
            </w:pPr>
            <w:r>
              <w:t xml:space="preserve">Pharmacist compounding balance, 0.01 g precision (replacement unit)</w:t>
            </w:r>
          </w:p>
        </w:tc>
        <w:tc>
          <w:tcPr/>
          <w:p>
            <w:pPr>
              <w:pStyle w:val="Compact"/>
              <w:jc w:val="left"/>
            </w:pPr>
            <w:r>
              <w:t xml:space="preserve">Unit</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09</w:t>
            </w:r>
          </w:p>
        </w:tc>
        <w:tc>
          <w:tcPr/>
          <w:p>
            <w:pPr>
              <w:pStyle w:val="Compact"/>
              <w:jc w:val="left"/>
            </w:pPr>
            <w:r>
              <w:t xml:space="preserve">Pharmaceutical refrigeration log sheets, 500-sheet pad</w:t>
            </w:r>
          </w:p>
        </w:tc>
        <w:tc>
          <w:tcPr/>
          <w:p>
            <w:pPr>
              <w:pStyle w:val="Compact"/>
              <w:jc w:val="left"/>
            </w:pPr>
            <w:r>
              <w:t xml:space="preserve">Pad</w:t>
            </w:r>
          </w:p>
        </w:tc>
        <w:tc>
          <w:tcPr/>
          <w:p>
            <w:pPr>
              <w:pStyle w:val="Compact"/>
              <w:jc w:val="left"/>
            </w:pPr>
            <w:r>
              <w:t xml:space="preserve">10</w:t>
            </w:r>
          </w:p>
        </w:tc>
        <w:tc>
          <w:tcPr/>
          <w:p>
            <w:pPr>
              <w:pStyle w:val="Compact"/>
              <w:jc w:val="left"/>
            </w:pPr>
            <w:r>
              <w:t xml:space="preserve">12.50</w:t>
            </w:r>
          </w:p>
        </w:tc>
        <w:tc>
          <w:tcPr/>
          <w:p>
            <w:pPr>
              <w:pStyle w:val="Compact"/>
              <w:jc w:val="left"/>
            </w:pPr>
            <w:r>
              <w:t xml:space="preserve">125.00</w:t>
            </w:r>
          </w:p>
        </w:tc>
      </w:tr>
      <w:tr>
        <w:tc>
          <w:tcPr/>
          <w:p>
            <w:pPr>
              <w:pStyle w:val="Compact"/>
              <w:jc w:val="left"/>
            </w:pPr>
            <w:r>
              <w:t xml:space="preserve">10</w:t>
            </w:r>
          </w:p>
        </w:tc>
        <w:tc>
          <w:tcPr/>
          <w:p>
            <w:pPr>
              <w:pStyle w:val="Compact"/>
              <w:jc w:val="left"/>
            </w:pPr>
            <w:r>
              <w:t xml:space="preserve">Ammonia inhalants (smelling salts), 12-count carton</w:t>
            </w:r>
          </w:p>
        </w:tc>
        <w:tc>
          <w:tcPr/>
          <w:p>
            <w:pPr>
              <w:pStyle w:val="Compact"/>
              <w:jc w:val="left"/>
            </w:pPr>
            <w:r>
              <w:t xml:space="preserve">Carton</w:t>
            </w:r>
          </w:p>
        </w:tc>
        <w:tc>
          <w:tcPr/>
          <w:p>
            <w:pPr>
              <w:pStyle w:val="Compact"/>
              <w:jc w:val="left"/>
            </w:pPr>
            <w:r>
              <w:t xml:space="preserve">25</w:t>
            </w:r>
          </w:p>
        </w:tc>
        <w:tc>
          <w:tcPr/>
          <w:p>
            <w:pPr>
              <w:pStyle w:val="Compact"/>
              <w:jc w:val="left"/>
            </w:pPr>
            <w:r>
              <w:t xml:space="preserve">8.75</w:t>
            </w:r>
          </w:p>
        </w:tc>
        <w:tc>
          <w:tcPr/>
          <w:p>
            <w:pPr>
              <w:pStyle w:val="Compact"/>
              <w:jc w:val="left"/>
            </w:pPr>
            <w:r>
              <w:t xml:space="preserve">218.75</w:t>
            </w:r>
          </w:p>
        </w:tc>
      </w:tr>
      <w:tr>
        <w:tc>
          <w:tcPr>
            <w:gridSpan w:val="5"/>
          </w:tcPr>
          <w:p>
            <w:pPr>
              <w:pStyle w:val="Compact"/>
              <w:jc w:val="left"/>
            </w:pPr>
            <w:r>
              <w:t xml:space="preserve">Subtotal</w:t>
            </w:r>
          </w:p>
        </w:tc>
        <w:tc>
          <w:tcPr/>
          <w:p>
            <w:pPr>
              <w:pStyle w:val="Compact"/>
              <w:jc w:val="left"/>
            </w:pPr>
            <w:r>
              <w:t xml:space="preserve">4,195.25</w:t>
            </w:r>
          </w:p>
        </w:tc>
      </w:tr>
      <w:tr>
        <w:tc>
          <w:tcPr>
            <w:gridSpan w:val="5"/>
          </w:tcPr>
          <w:p>
            <w:pPr>
              <w:pStyle w:val="Compact"/>
              <w:jc w:val="left"/>
            </w:pPr>
            <w:r>
              <w:t xml:space="preserve">VAT (TVA) — 20% (standard French rate)</w:t>
            </w:r>
          </w:p>
        </w:tc>
        <w:tc>
          <w:tcPr/>
          <w:p>
            <w:pPr>
              <w:pStyle w:val="Compact"/>
              <w:jc w:val="left"/>
            </w:pPr>
            <w:r>
              <w:t xml:space="preserve">839.05</w:t>
            </w:r>
          </w:p>
        </w:tc>
      </w:tr>
      <w:tr>
        <w:tc>
          <w:tcPr>
            <w:gridSpan w:val="5"/>
          </w:tcPr>
          <w:p>
            <w:pPr>
              <w:pStyle w:val="Compact"/>
              <w:jc w:val="left"/>
            </w:pPr>
            <w:r>
              <w:rPr>
                <w:bCs/>
                <w:b/>
              </w:rPr>
              <w:t xml:space="preserve">Grand Total (EUR)</w:t>
            </w:r>
          </w:p>
        </w:tc>
        <w:tc>
          <w:tcPr/>
          <w:p>
            <w:pPr>
              <w:pStyle w:val="Compact"/>
              <w:jc w:val="left"/>
            </w:pPr>
            <w:r>
              <w:rPr>
                <w:bCs/>
                <w:b/>
              </w:rPr>
              <w:t xml:space="preserve">5,034.30</w:t>
            </w:r>
          </w:p>
        </w:tc>
      </w:tr>
    </w:tbl>
    <w:bookmarkEnd w:id="25"/>
    <w:bookmarkStart w:id="26" w:name="delivery-and-logistics"/>
    <w:p>
      <w:pPr>
        <w:pStyle w:val="Heading2"/>
      </w:pPr>
      <w:r>
        <w:t xml:space="preserve">4. Delivery and Logistics</w:t>
      </w:r>
    </w:p>
    <w:p>
      <w:pPr>
        <w:pStyle w:val="FirstParagraph"/>
      </w:pPr>
      <w:r>
        <w:t xml:space="preserve">This Purchase Order mandates that all pharmaceutical goods and supplies listed above shall be delivered to the Pharmacie du Vieux Port, located at 12 Quai de Rive Neuve, 13007 Marseille, France. The delivery must be made between 08:00 and 17:00 CET on or before 28 June 2025. The supplier is responsible for ensuring that all temperature-sensitive pharmaceutical products are transported in compliance with the French Agency for Medicines and Health Products (ANSM) cold-chain regulations. The Pharmacist, Dr. Éloise Marchand, or her designated pharmacy assistant, will inspect all items upon receipt at the Marseille premises and sign the delivery manifest. Any discrepancies in quantity, packaging integrity, or expiration dates must be reported to the supplier within 48 hours of delivery.</w:t>
      </w:r>
    </w:p>
    <w:bookmarkEnd w:id="26"/>
    <w:bookmarkStart w:id="27" w:name="terms-and-conditions"/>
    <w:p>
      <w:pPr>
        <w:pStyle w:val="Heading2"/>
      </w:pPr>
      <w:r>
        <w:t xml:space="preserve">5. Terms and Conditions</w:t>
      </w:r>
    </w:p>
    <w:p>
      <w:pPr>
        <w:numPr>
          <w:ilvl w:val="0"/>
          <w:numId w:val="1001"/>
        </w:numPr>
        <w:pStyle w:val="Compact"/>
      </w:pPr>
      <w:r>
        <w:t xml:space="preserve">All products must bear valid ANSM (Agence Nationale de Sécurité du Médicament) registration numbers and comply with the French Public Health Code (Code de la santé publique), particularly Articles L.5121-1 through L.5121-12 governing pharmaceutical distribution in France.</w:t>
      </w:r>
    </w:p>
    <w:p>
      <w:pPr>
        <w:numPr>
          <w:ilvl w:val="0"/>
          <w:numId w:val="1001"/>
        </w:numPr>
        <w:pStyle w:val="Compact"/>
      </w:pPr>
      <w:r>
        <w:t xml:space="preserve">The Pharmacist reserves the right to reject any lot of medication that does not meet the quality standards established by the Ordre des Pharmaciens de France or that carries an expiration date less than 12 months from the delivery date.</w:t>
      </w:r>
    </w:p>
    <w:p>
      <w:pPr>
        <w:numPr>
          <w:ilvl w:val="0"/>
          <w:numId w:val="1001"/>
        </w:numPr>
        <w:pStyle w:val="Compact"/>
      </w:pPr>
      <w:r>
        <w:t xml:space="preserve">Payment shall be processed via SEPA bank transfer to the supplier's designated account within 30 calendar days of the invoice date, in accordance with French commercial law applicable in the Marseille commercial district.</w:t>
      </w:r>
    </w:p>
    <w:p>
      <w:pPr>
        <w:numPr>
          <w:ilvl w:val="0"/>
          <w:numId w:val="1001"/>
        </w:numPr>
        <w:pStyle w:val="Compact"/>
      </w:pPr>
      <w:r>
        <w:t xml:space="preserve">This Purchase Order is governed by the laws of the French Republic. Any dispute arising from this transaction shall be subject to the exclusive jurisdiction of the Tribunal de Commerce de Marseille.</w:t>
      </w:r>
    </w:p>
    <w:p>
      <w:pPr>
        <w:numPr>
          <w:ilvl w:val="0"/>
          <w:numId w:val="1001"/>
        </w:numPr>
        <w:pStyle w:val="Compact"/>
      </w:pPr>
      <w:r>
        <w:t xml:space="preserve">The supplier warrants that all prescription-only medicines (médicaments soumis à prescription) included in this order are sourced from authorized manufacturers and are fully traceable under the French pharmaceutical traceability system (Système de Traçabilité des Médicaments).</w:t>
      </w:r>
    </w:p>
    <w:p>
      <w:pPr>
        <w:numPr>
          <w:ilvl w:val="0"/>
          <w:numId w:val="1001"/>
        </w:numPr>
        <w:pStyle w:val="Compact"/>
      </w:pPr>
      <w:r>
        <w:t xml:space="preserve">Force majeure events, including but not limited to port strikes in the Marseille harbour area or national pharmaceutical supply disruptions, shall be handled in accordance with Article 1218 of the French Civil Code.</w:t>
      </w:r>
    </w:p>
    <w:bookmarkEnd w:id="27"/>
    <w:p>
      <w:pPr>
        <w:pStyle w:val="FirstParagraph"/>
      </w:pPr>
      <w:r>
        <w:rPr>
          <w:bCs/>
          <w:b/>
        </w:rPr>
        <w:t xml:space="preserve">Important Note for the Pharmacist:</w:t>
      </w:r>
      <w:r>
        <w:t xml:space="preserve"> </w:t>
      </w:r>
      <w:r>
        <w:t xml:space="preserve">This Purchase Order has been prepared in accordance with the operational requirements of Pharmacie du Vieux Port in Marseille, France. All pharmaceutical items listed require verification against the current ANSM pharmacovigilance database prior to dispensing. The Pharmacist is reminded that under French law, the pharmacist bears full professional responsibility for the quality, storage, and dispensing of all medications received under this order. Please ensure that the pharmacy's internal stock management system (logiciel de gestion pharmaceutique) is updated upon receipt of goods.</w:t>
      </w:r>
    </w:p>
    <w:bookmarkStart w:id="28" w:name="authorization-and-signatures"/>
    <w:p>
      <w:pPr>
        <w:pStyle w:val="Heading2"/>
      </w:pPr>
      <w:r>
        <w:t xml:space="preserve">6. Authorization and Signatures</w:t>
      </w:r>
    </w:p>
    <w:p>
      <w:pPr>
        <w:pStyle w:val="FirstParagraph"/>
      </w:pPr>
      <w:r>
        <w:rPr>
          <w:bCs/>
          <w:b/>
        </w:rPr>
        <w:t xml:space="preserve">Prepared and Authorized by (Pharmacist):</w:t>
      </w:r>
    </w:p>
    <w:p>
      <w:pPr>
        <w:pStyle w:val="BodyText"/>
      </w:pPr>
      <w:r>
        <w:t xml:space="preserve">Dr. Éloise Marchand, PharmD</w:t>
      </w:r>
      <w:r>
        <w:br/>
      </w:r>
      <w:r>
        <w:t xml:space="preserve">Licensed Pharmacist &amp; Proprietor</w:t>
      </w:r>
      <w:r>
        <w:br/>
      </w:r>
      <w:r>
        <w:t xml:space="preserve">Pharmacie du Vieux Port, Marseille, France</w:t>
      </w:r>
      <w:r>
        <w:br/>
      </w:r>
      <w:r>
        <w:t xml:space="preserve">Date: _______________</w:t>
      </w:r>
    </w:p>
    <w:p>
      <w:pPr>
        <w:pStyle w:val="BodyText"/>
      </w:pPr>
      <w:r>
        <w:rPr>
          <w:bCs/>
          <w:b/>
        </w:rPr>
        <w:t xml:space="preserve">Accepted by (Supplier Representative):</w:t>
      </w:r>
    </w:p>
    <w:p>
      <w:pPr>
        <w:pStyle w:val="BodyText"/>
      </w:pPr>
      <w:r>
        <w:t xml:space="preserve">_________________________________</w:t>
      </w:r>
      <w:r>
        <w:br/>
      </w:r>
      <w:r>
        <w:t xml:space="preserve">Name and Title</w:t>
      </w:r>
      <w:r>
        <w:br/>
      </w:r>
      <w:r>
        <w:t xml:space="preserve">Laboratoires Méditerranéens SAS</w:t>
      </w:r>
      <w:r>
        <w:br/>
      </w:r>
      <w:r>
        <w:t xml:space="preserve">Marseille, France</w:t>
      </w:r>
      <w:r>
        <w:br/>
      </w:r>
      <w:r>
        <w:t xml:space="preserve">Date: _______________</w:t>
      </w:r>
    </w:p>
    <w:bookmarkEnd w:id="28"/>
    <w:p>
      <w:pPr>
        <w:pStyle w:val="BodyText"/>
      </w:pPr>
      <w:r>
        <w:rPr>
          <w:bCs/>
          <w:b/>
        </w:rPr>
        <w:t xml:space="preserve">Purchase Order FR-MRS-2025-04782</w:t>
      </w:r>
      <w:r>
        <w:t xml:space="preserve"> </w:t>
      </w:r>
      <w:r>
        <w:t xml:space="preserve">— Issued by Pharmacie du Vieux Port, 12 Quai de Rive Neuve, 13007 Marseille, France. This document constitutes a binding procurement order under French commercial law. The Pharmacist named herein is the sole authorized signatory for all pharmaceutical purchases at this Marseille establishment. For questions regarding this Purchase Order, contact the Pharmacist directly at the above address or via the Ordre Départemental des Pharmaciens des Bouches-du-Rène, 13001 Marseille, France.</w:t>
      </w:r>
    </w:p>
    <w:p>
      <w:pPr>
        <w:pStyle w:val="BodyText"/>
      </w:pPr>
      <w:r>
        <w:t xml:space="preserve">Document generated on 14 June 2025. Page 1 of 1. © Pharmacie du Vieux Port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France Marseille</dc:title>
  <dc:creator/>
  <dc:language>en</dc:language>
  <cp:keywords/>
  <dcterms:created xsi:type="dcterms:W3CDTF">2026-10-10T04:33:23Z</dcterms:created>
  <dcterms:modified xsi:type="dcterms:W3CDTF">2026-10-10T04:33:23Z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