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Pharmacist</w:t>
      </w:r>
      <w:r>
        <w:t xml:space="preserve"> </w:t>
      </w:r>
      <w:r>
        <w:t xml:space="preserve">-</w:t>
      </w:r>
      <w:r>
        <w:t xml:space="preserve"> </w:t>
      </w:r>
      <w:r>
        <w:t xml:space="preserve">France</w:t>
      </w:r>
      <w:r>
        <w:t xml:space="preserve"> </w:t>
      </w:r>
      <w:r>
        <w:t xml:space="preserve">Paris</w:t>
      </w:r>
    </w:p>
    <w:bookmarkStart w:id="20" w:name="purchase-order"/>
    <w:p>
      <w:pPr>
        <w:pStyle w:val="Heading1"/>
      </w:pPr>
      <w:r>
        <w:t xml:space="preserve">PURCHASE ORDER</w:t>
      </w:r>
    </w:p>
    <w:p>
      <w:pPr>
        <w:pStyle w:val="FirstParagraph"/>
      </w:pPr>
      <w:r>
        <w:t xml:space="preserve">Official Pharmaceutical Procurement Document — France Paris</w:t>
      </w:r>
    </w:p>
    <w:p>
      <w:pPr>
        <w:pStyle w:val="BodyText"/>
      </w:pPr>
      <w:r>
        <w:t xml:space="preserve">PO No: FR-PS-2025-04872</w:t>
      </w:r>
      <w:r>
        <w:t xml:space="preserve"> </w:t>
      </w:r>
      <w:r>
        <w:t xml:space="preserve">Date: 14 June 2025</w:t>
      </w:r>
    </w:p>
    <w:bookmarkEnd w:id="20"/>
    <w:bookmarkStart w:id="21" w:name="buyer-pharmacist-pharmacie"/>
    <w:p>
      <w:pPr>
        <w:pStyle w:val="Heading3"/>
      </w:pPr>
      <w:r>
        <w:t xml:space="preserve">Buyer — Pharmacist (Pharmacie)</w:t>
      </w:r>
    </w:p>
    <w:p>
      <w:pPr>
        <w:pStyle w:val="FirstParagraph"/>
      </w:pPr>
      <w:r>
        <w:rPr>
          <w:bCs/>
          <w:b/>
        </w:rPr>
        <w:t xml:space="preserve">Pharmacist Name:</w:t>
      </w:r>
      <w:r>
        <w:t xml:space="preserve"> </w:t>
      </w:r>
      <w:r>
        <w:t xml:space="preserve">Dr. Claire Dubois, Pharm.D.</w:t>
      </w:r>
    </w:p>
    <w:p>
      <w:pPr>
        <w:pStyle w:val="BodyText"/>
      </w:pPr>
      <w:r>
        <w:rPr>
          <w:bCs/>
          <w:b/>
        </w:rPr>
        <w:t xml:space="preserve">Pharmacy:</w:t>
      </w:r>
      <w:r>
        <w:t xml:space="preserve"> </w:t>
      </w:r>
      <w:r>
        <w:t xml:space="preserve">Pharmacie du Quartier Latin</w:t>
      </w:r>
    </w:p>
    <w:p>
      <w:pPr>
        <w:pStyle w:val="BodyText"/>
      </w:pPr>
      <w:r>
        <w:rPr>
          <w:bCs/>
          <w:b/>
        </w:rPr>
        <w:t xml:space="preserve">Address:</w:t>
      </w:r>
      <w:r>
        <w:t xml:space="preserve"> </w:t>
      </w:r>
      <w:r>
        <w:t xml:space="preserve">42 Rue de la Huchette, 75005 Paris, France</w:t>
      </w:r>
    </w:p>
    <w:p>
      <w:pPr>
        <w:pStyle w:val="BodyText"/>
      </w:pPr>
      <w:r>
        <w:rPr>
          <w:bCs/>
          <w:b/>
        </w:rPr>
        <w:t xml:space="preserve">SIRET No:</w:t>
      </w:r>
      <w:r>
        <w:t xml:space="preserve"> </w:t>
      </w:r>
      <w:r>
        <w:t xml:space="preserve">842 567 391 00027</w:t>
      </w:r>
    </w:p>
    <w:p>
      <w:pPr>
        <w:pStyle w:val="BodyText"/>
      </w:pPr>
      <w:r>
        <w:rPr>
          <w:bCs/>
          <w:b/>
        </w:rPr>
        <w:t xml:space="preserve">APC (Ordre des Pharmaciens):</w:t>
      </w:r>
      <w:r>
        <w:t xml:space="preserve"> </w:t>
      </w:r>
      <w:r>
        <w:t xml:space="preserve">IDF-2019-44782</w:t>
      </w:r>
    </w:p>
    <w:p>
      <w:pPr>
        <w:pStyle w:val="BodyText"/>
      </w:pPr>
      <w:r>
        <w:rPr>
          <w:bCs/>
          <w:b/>
        </w:rPr>
        <w:t xml:space="preserve">Contact:</w:t>
      </w:r>
      <w:r>
        <w:t xml:space="preserve"> </w:t>
      </w:r>
      <w:r>
        <w:t xml:space="preserve">+33 1 43 26 89 54</w:t>
      </w:r>
    </w:p>
    <w:p>
      <w:pPr>
        <w:pStyle w:val="BodyText"/>
      </w:pPr>
      <w:r>
        <w:rPr>
          <w:bCs/>
          <w:b/>
        </w:rPr>
        <w:t xml:space="preserve">Email:</w:t>
      </w:r>
      <w:r>
        <w:t xml:space="preserve"> </w:t>
      </w:r>
      <w:r>
        <w:t xml:space="preserve">c.dubois@pharmacie-quartierlatin.fr</w:t>
      </w:r>
    </w:p>
    <w:bookmarkEnd w:id="21"/>
    <w:bookmarkStart w:id="22" w:name="supplier"/>
    <w:p>
      <w:pPr>
        <w:pStyle w:val="Heading3"/>
      </w:pPr>
      <w:r>
        <w:t xml:space="preserve">Supplier</w:t>
      </w:r>
    </w:p>
    <w:p>
      <w:pPr>
        <w:pStyle w:val="FirstParagraph"/>
      </w:pPr>
      <w:r>
        <w:rPr>
          <w:bCs/>
          <w:b/>
        </w:rPr>
        <w:t xml:space="preserve">Company:</w:t>
      </w:r>
      <w:r>
        <w:t xml:space="preserve"> </w:t>
      </w:r>
      <w:r>
        <w:t xml:space="preserve">Laboratoires Pharmaceutiques Méridien SAS</w:t>
      </w:r>
    </w:p>
    <w:p>
      <w:pPr>
        <w:pStyle w:val="BodyText"/>
      </w:pPr>
      <w:r>
        <w:rPr>
          <w:bCs/>
          <w:b/>
        </w:rPr>
        <w:t xml:space="preserve">Address:</w:t>
      </w:r>
      <w:r>
        <w:t xml:space="preserve"> </w:t>
      </w:r>
      <w:r>
        <w:t xml:space="preserve">18 Avenue de la République, 75011 Paris, France</w:t>
      </w:r>
    </w:p>
    <w:p>
      <w:pPr>
        <w:pStyle w:val="BodyText"/>
      </w:pPr>
      <w:r>
        <w:rPr>
          <w:bCs/>
          <w:b/>
        </w:rPr>
        <w:t xml:space="preserve">SIRET No:</w:t>
      </w:r>
      <w:r>
        <w:t xml:space="preserve"> </w:t>
      </w:r>
      <w:r>
        <w:t xml:space="preserve">521 893 447 00019</w:t>
      </w:r>
    </w:p>
    <w:p>
      <w:pPr>
        <w:pStyle w:val="BodyText"/>
      </w:pPr>
      <w:r>
        <w:rPr>
          <w:bCs/>
          <w:b/>
        </w:rPr>
        <w:t xml:space="preserve">VAT (TVA):</w:t>
      </w:r>
      <w:r>
        <w:t xml:space="preserve"> </w:t>
      </w:r>
      <w:r>
        <w:t xml:space="preserve">FR 45 521893447</w:t>
      </w:r>
    </w:p>
    <w:p>
      <w:pPr>
        <w:pStyle w:val="BodyText"/>
      </w:pPr>
      <w:r>
        <w:rPr>
          <w:bCs/>
          <w:b/>
        </w:rPr>
        <w:t xml:space="preserve">Contact:</w:t>
      </w:r>
      <w:r>
        <w:t xml:space="preserve"> </w:t>
      </w:r>
      <w:r>
        <w:t xml:space="preserve">+33 1 48 05 22 31</w:t>
      </w:r>
    </w:p>
    <w:p>
      <w:pPr>
        <w:pStyle w:val="BodyText"/>
      </w:pPr>
      <w:r>
        <w:rPr>
          <w:bCs/>
          <w:b/>
        </w:rPr>
        <w:t xml:space="preserve">Email:</w:t>
      </w:r>
      <w:r>
        <w:t xml:space="preserve"> </w:t>
      </w:r>
      <w:r>
        <w:t xml:space="preserve">sales@lab-meridien.fr</w:t>
      </w:r>
    </w:p>
    <w:p>
      <w:pPr>
        <w:pStyle w:val="BodyText"/>
      </w:pPr>
      <w:r>
        <w:rPr>
          <w:bCs/>
          <w:b/>
        </w:rPr>
        <w:t xml:space="preserve">ANSM Registration:</w:t>
      </w:r>
      <w:r>
        <w:t xml:space="preserve"> </w:t>
      </w:r>
      <w:r>
        <w:t xml:space="preserve">ANSM-2024-11893</w:t>
      </w:r>
    </w:p>
    <w:bookmarkEnd w:id="22"/>
    <w:bookmarkStart w:id="23" w:name="X950ddcd3ba6ee375c970db875ba6548bef94141"/>
    <w:p>
      <w:pPr>
        <w:pStyle w:val="Heading2"/>
      </w:pPr>
      <w:r>
        <w:t xml:space="preserve">Order Details — Pharmaceutical Products and Supplies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Reference / DDC</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Amoxicillin 500 mg capsules (28 ct) — Antibiotic, prescription only</w:t>
            </w:r>
          </w:p>
        </w:tc>
        <w:tc>
          <w:tcPr/>
          <w:p>
            <w:pPr>
              <w:pStyle w:val="Compact"/>
              <w:jc w:val="left"/>
            </w:pPr>
            <w:r>
              <w:t xml:space="preserve">DDC 3075214</w:t>
            </w:r>
          </w:p>
        </w:tc>
        <w:tc>
          <w:tcPr/>
          <w:p>
            <w:pPr>
              <w:pStyle w:val="Compact"/>
              <w:jc w:val="left"/>
            </w:pPr>
            <w:r>
              <w:t xml:space="preserve">200</w:t>
            </w:r>
          </w:p>
        </w:tc>
        <w:tc>
          <w:tcPr/>
          <w:p>
            <w:pPr>
              <w:pStyle w:val="Compact"/>
              <w:jc w:val="left"/>
            </w:pPr>
            <w:r>
              <w:t xml:space="preserve">Boxes</w:t>
            </w:r>
          </w:p>
        </w:tc>
        <w:tc>
          <w:tcPr/>
          <w:p>
            <w:pPr>
              <w:pStyle w:val="Compact"/>
              <w:jc w:val="left"/>
            </w:pPr>
            <w:r>
              <w:t xml:space="preserve">4.85</w:t>
            </w:r>
          </w:p>
        </w:tc>
        <w:tc>
          <w:tcPr/>
          <w:p>
            <w:pPr>
              <w:pStyle w:val="Compact"/>
              <w:jc w:val="left"/>
            </w:pPr>
            <w:r>
              <w:t xml:space="preserve">970.00</w:t>
            </w:r>
          </w:p>
        </w:tc>
      </w:tr>
      <w:tr>
        <w:tc>
          <w:tcPr/>
          <w:p>
            <w:pPr>
              <w:pStyle w:val="Compact"/>
              <w:jc w:val="left"/>
            </w:pPr>
            <w:r>
              <w:t xml:space="preserve">02</w:t>
            </w:r>
          </w:p>
        </w:tc>
        <w:tc>
          <w:tcPr/>
          <w:p>
            <w:pPr>
              <w:pStyle w:val="Compact"/>
              <w:jc w:val="left"/>
            </w:pPr>
            <w:r>
              <w:t xml:space="preserve">Ibuprofen 400 mg tablets (20 ct) — NSAID, OTC</w:t>
            </w:r>
          </w:p>
        </w:tc>
        <w:tc>
          <w:tcPr/>
          <w:p>
            <w:pPr>
              <w:pStyle w:val="Compact"/>
              <w:jc w:val="left"/>
            </w:pPr>
            <w:r>
              <w:t xml:space="preserve">DDC 3075215</w:t>
            </w:r>
          </w:p>
        </w:tc>
        <w:tc>
          <w:tcPr/>
          <w:p>
            <w:pPr>
              <w:pStyle w:val="Compact"/>
              <w:jc w:val="left"/>
            </w:pPr>
            <w:r>
              <w:t xml:space="preserve">350</w:t>
            </w:r>
          </w:p>
        </w:tc>
        <w:tc>
          <w:tcPr/>
          <w:p>
            <w:pPr>
              <w:pStyle w:val="Compact"/>
              <w:jc w:val="left"/>
            </w:pPr>
            <w:r>
              <w:t xml:space="preserve">Boxes</w:t>
            </w:r>
          </w:p>
        </w:tc>
        <w:tc>
          <w:tcPr/>
          <w:p>
            <w:pPr>
              <w:pStyle w:val="Compact"/>
              <w:jc w:val="left"/>
            </w:pPr>
            <w:r>
              <w:t xml:space="preserve">2.10</w:t>
            </w:r>
          </w:p>
        </w:tc>
        <w:tc>
          <w:tcPr/>
          <w:p>
            <w:pPr>
              <w:pStyle w:val="Compact"/>
              <w:jc w:val="left"/>
            </w:pPr>
            <w:r>
              <w:t xml:space="preserve">735.00</w:t>
            </w:r>
          </w:p>
        </w:tc>
      </w:tr>
      <w:tr>
        <w:tc>
          <w:tcPr/>
          <w:p>
            <w:pPr>
              <w:pStyle w:val="Compact"/>
              <w:jc w:val="left"/>
            </w:pPr>
            <w:r>
              <w:t xml:space="preserve">03</w:t>
            </w:r>
          </w:p>
        </w:tc>
        <w:tc>
          <w:tcPr/>
          <w:p>
            <w:pPr>
              <w:pStyle w:val="Compact"/>
              <w:jc w:val="left"/>
            </w:pPr>
            <w:r>
              <w:t xml:space="preserve">Metformin 850 mg tablets (30 ct) — Antidiabetic, prescription only</w:t>
            </w:r>
          </w:p>
        </w:tc>
        <w:tc>
          <w:tcPr/>
          <w:p>
            <w:pPr>
              <w:pStyle w:val="Compact"/>
              <w:jc w:val="left"/>
            </w:pPr>
            <w:r>
              <w:t xml:space="preserve">DDC 3075216</w:t>
            </w:r>
          </w:p>
        </w:tc>
        <w:tc>
          <w:tcPr/>
          <w:p>
            <w:pPr>
              <w:pStyle w:val="Compact"/>
              <w:jc w:val="left"/>
            </w:pPr>
            <w:r>
              <w:t xml:space="preserve">150</w:t>
            </w:r>
          </w:p>
        </w:tc>
        <w:tc>
          <w:tcPr/>
          <w:p>
            <w:pPr>
              <w:pStyle w:val="Compact"/>
              <w:jc w:val="left"/>
            </w:pPr>
            <w:r>
              <w:t xml:space="preserve">Boxes</w:t>
            </w:r>
          </w:p>
        </w:tc>
        <w:tc>
          <w:tcPr/>
          <w:p>
            <w:pPr>
              <w:pStyle w:val="Compact"/>
              <w:jc w:val="left"/>
            </w:pPr>
            <w:r>
              <w:t xml:space="preserve">3.45</w:t>
            </w:r>
          </w:p>
        </w:tc>
        <w:tc>
          <w:tcPr/>
          <w:p>
            <w:pPr>
              <w:pStyle w:val="Compact"/>
              <w:jc w:val="left"/>
            </w:pPr>
            <w:r>
              <w:t xml:space="preserve">517.50</w:t>
            </w:r>
          </w:p>
        </w:tc>
      </w:tr>
      <w:tr>
        <w:tc>
          <w:tcPr/>
          <w:p>
            <w:pPr>
              <w:pStyle w:val="Compact"/>
              <w:jc w:val="left"/>
            </w:pPr>
            <w:r>
              <w:t xml:space="preserve">04</w:t>
            </w:r>
          </w:p>
        </w:tc>
        <w:tc>
          <w:tcPr/>
          <w:p>
            <w:pPr>
              <w:pStyle w:val="Compact"/>
              <w:jc w:val="left"/>
            </w:pPr>
            <w:r>
              <w:t xml:space="preserve">Salbutamol 100 mcg inhaler (200 doses) — Bronchodilator</w:t>
            </w:r>
          </w:p>
        </w:tc>
        <w:tc>
          <w:tcPr/>
          <w:p>
            <w:pPr>
              <w:pStyle w:val="Compact"/>
              <w:jc w:val="left"/>
            </w:pPr>
            <w:r>
              <w:t xml:space="preserve">DDC 3075217</w:t>
            </w:r>
          </w:p>
        </w:tc>
        <w:tc>
          <w:tcPr/>
          <w:p>
            <w:pPr>
              <w:pStyle w:val="Compact"/>
              <w:jc w:val="left"/>
            </w:pPr>
            <w:r>
              <w:t xml:space="preserve">80</w:t>
            </w:r>
          </w:p>
        </w:tc>
        <w:tc>
          <w:tcPr/>
          <w:p>
            <w:pPr>
              <w:pStyle w:val="Compact"/>
              <w:jc w:val="left"/>
            </w:pPr>
            <w:r>
              <w:t xml:space="preserve">Units</w:t>
            </w:r>
          </w:p>
        </w:tc>
        <w:tc>
          <w:tcPr/>
          <w:p>
            <w:pPr>
              <w:pStyle w:val="Compact"/>
              <w:jc w:val="left"/>
            </w:pPr>
            <w:r>
              <w:t xml:space="preserve">7.90</w:t>
            </w:r>
          </w:p>
        </w:tc>
        <w:tc>
          <w:tcPr/>
          <w:p>
            <w:pPr>
              <w:pStyle w:val="Compact"/>
              <w:jc w:val="left"/>
            </w:pPr>
            <w:r>
              <w:t xml:space="preserve">632.00</w:t>
            </w:r>
          </w:p>
        </w:tc>
      </w:tr>
      <w:tr>
        <w:tc>
          <w:tcPr/>
          <w:p>
            <w:pPr>
              <w:pStyle w:val="Compact"/>
              <w:jc w:val="left"/>
            </w:pPr>
            <w:r>
              <w:t xml:space="preserve">05</w:t>
            </w:r>
          </w:p>
        </w:tc>
        <w:tc>
          <w:tcPr/>
          <w:p>
            <w:pPr>
              <w:pStyle w:val="Compact"/>
              <w:jc w:val="left"/>
            </w:pPr>
            <w:r>
              <w:t xml:space="preserve">Paracetamol 1 g effervescent tablets (16 ct) — Analgesic, OTC</w:t>
            </w:r>
          </w:p>
        </w:tc>
        <w:tc>
          <w:tcPr/>
          <w:p>
            <w:pPr>
              <w:pStyle w:val="Compact"/>
              <w:jc w:val="left"/>
            </w:pPr>
            <w:r>
              <w:t xml:space="preserve">DDC 3075218</w:t>
            </w:r>
          </w:p>
        </w:tc>
        <w:tc>
          <w:tcPr/>
          <w:p>
            <w:pPr>
              <w:pStyle w:val="Compact"/>
              <w:jc w:val="left"/>
            </w:pPr>
            <w:r>
              <w:t xml:space="preserve">400</w:t>
            </w:r>
          </w:p>
        </w:tc>
        <w:tc>
          <w:tcPr/>
          <w:p>
            <w:pPr>
              <w:pStyle w:val="Compact"/>
              <w:jc w:val="left"/>
            </w:pPr>
            <w:r>
              <w:t xml:space="preserve">Boxes</w:t>
            </w:r>
          </w:p>
        </w:tc>
        <w:tc>
          <w:tcPr/>
          <w:p>
            <w:pPr>
              <w:pStyle w:val="Compact"/>
              <w:jc w:val="left"/>
            </w:pPr>
            <w:r>
              <w:t xml:space="preserve">1.85</w:t>
            </w:r>
          </w:p>
        </w:tc>
        <w:tc>
          <w:tcPr/>
          <w:p>
            <w:pPr>
              <w:pStyle w:val="Compact"/>
              <w:jc w:val="left"/>
            </w:pPr>
            <w:r>
              <w:t xml:space="preserve">740.00</w:t>
            </w:r>
          </w:p>
        </w:tc>
      </w:tr>
      <w:tr>
        <w:tc>
          <w:tcPr/>
          <w:p>
            <w:pPr>
              <w:pStyle w:val="Compact"/>
              <w:jc w:val="left"/>
            </w:pPr>
            <w:r>
              <w:t xml:space="preserve">06</w:t>
            </w:r>
          </w:p>
        </w:tc>
        <w:tc>
          <w:tcPr/>
          <w:p>
            <w:pPr>
              <w:pStyle w:val="Compact"/>
              <w:jc w:val="left"/>
            </w:pPr>
            <w:r>
              <w:t xml:space="preserve">Atorvastatin 20 mg tablets (28 ct) — Statin, prescription only</w:t>
            </w:r>
          </w:p>
        </w:tc>
        <w:tc>
          <w:tcPr/>
          <w:p>
            <w:pPr>
              <w:pStyle w:val="Compact"/>
              <w:jc w:val="left"/>
            </w:pPr>
            <w:r>
              <w:t xml:space="preserve">DDC 3075219</w:t>
            </w:r>
          </w:p>
        </w:tc>
        <w:tc>
          <w:tcPr/>
          <w:p>
            <w:pPr>
              <w:pStyle w:val="Compact"/>
              <w:jc w:val="left"/>
            </w:pPr>
            <w:r>
              <w:t xml:space="preserve">120</w:t>
            </w:r>
          </w:p>
        </w:tc>
        <w:tc>
          <w:tcPr/>
          <w:p>
            <w:pPr>
              <w:pStyle w:val="Compact"/>
              <w:jc w:val="left"/>
            </w:pPr>
            <w:r>
              <w:t xml:space="preserve">Boxes</w:t>
            </w:r>
          </w:p>
        </w:tc>
        <w:tc>
          <w:tcPr/>
          <w:p>
            <w:pPr>
              <w:pStyle w:val="Compact"/>
              <w:jc w:val="left"/>
            </w:pPr>
            <w:r>
              <w:t xml:space="preserve">5.20</w:t>
            </w:r>
          </w:p>
        </w:tc>
        <w:tc>
          <w:tcPr/>
          <w:p>
            <w:pPr>
              <w:pStyle w:val="Compact"/>
              <w:jc w:val="left"/>
            </w:pPr>
            <w:r>
              <w:t xml:space="preserve">624.00</w:t>
            </w:r>
          </w:p>
        </w:tc>
      </w:tr>
      <w:tr>
        <w:tc>
          <w:tcPr/>
          <w:p>
            <w:pPr>
              <w:pStyle w:val="Compact"/>
              <w:jc w:val="left"/>
            </w:pPr>
            <w:r>
              <w:t xml:space="preserve">07</w:t>
            </w:r>
          </w:p>
        </w:tc>
        <w:tc>
          <w:tcPr/>
          <w:p>
            <w:pPr>
              <w:pStyle w:val="Compact"/>
              <w:jc w:val="left"/>
            </w:pPr>
            <w:r>
              <w:t xml:space="preserve">Pharmaceutical-grade nitrile gloves (M, 100 ct) — PPE for pharmacist use</w:t>
            </w:r>
          </w:p>
        </w:tc>
        <w:tc>
          <w:tcPr/>
          <w:p>
            <w:pPr>
              <w:pStyle w:val="Compact"/>
              <w:jc w:val="left"/>
            </w:pPr>
            <w:r>
              <w:t xml:space="preserve">REF-GLV-M-100</w:t>
            </w:r>
          </w:p>
        </w:tc>
        <w:tc>
          <w:tcPr/>
          <w:p>
            <w:pPr>
              <w:pStyle w:val="Compact"/>
              <w:jc w:val="left"/>
            </w:pPr>
            <w:r>
              <w:t xml:space="preserve">50</w:t>
            </w:r>
          </w:p>
        </w:tc>
        <w:tc>
          <w:tcPr/>
          <w:p>
            <w:pPr>
              <w:pStyle w:val="Compact"/>
              <w:jc w:val="left"/>
            </w:pPr>
            <w:r>
              <w:t xml:space="preserve">Boxes</w:t>
            </w:r>
          </w:p>
        </w:tc>
        <w:tc>
          <w:tcPr/>
          <w:p>
            <w:pPr>
              <w:pStyle w:val="Compact"/>
              <w:jc w:val="left"/>
            </w:pPr>
            <w:r>
              <w:t xml:space="preserve">6.50</w:t>
            </w:r>
          </w:p>
        </w:tc>
        <w:tc>
          <w:tcPr/>
          <w:p>
            <w:pPr>
              <w:pStyle w:val="Compact"/>
              <w:jc w:val="left"/>
            </w:pPr>
            <w:r>
              <w:t xml:space="preserve">325.00</w:t>
            </w:r>
          </w:p>
        </w:tc>
      </w:tr>
      <w:tr>
        <w:tc>
          <w:tcPr/>
          <w:p>
            <w:pPr>
              <w:pStyle w:val="Compact"/>
              <w:jc w:val="left"/>
            </w:pPr>
            <w:r>
              <w:t xml:space="preserve">08</w:t>
            </w:r>
          </w:p>
        </w:tc>
        <w:tc>
          <w:tcPr/>
          <w:p>
            <w:pPr>
              <w:pStyle w:val="Compact"/>
              <w:jc w:val="left"/>
            </w:pPr>
            <w:r>
              <w:t xml:space="preserve">Pharmaceutical compounding balance (0.01 g precision) — Equipment</w:t>
            </w:r>
          </w:p>
        </w:tc>
        <w:tc>
          <w:tcPr/>
          <w:p>
            <w:pPr>
              <w:pStyle w:val="Compact"/>
              <w:jc w:val="left"/>
            </w:pPr>
            <w:r>
              <w:t xml:space="preserve">REF-BAL-001</w:t>
            </w:r>
          </w:p>
        </w:tc>
        <w:tc>
          <w:tcPr/>
          <w:p>
            <w:pPr>
              <w:pStyle w:val="Compact"/>
              <w:jc w:val="left"/>
            </w:pPr>
            <w:r>
              <w:t xml:space="preserve">1</w:t>
            </w:r>
          </w:p>
        </w:tc>
        <w:tc>
          <w:tcPr/>
          <w:p>
            <w:pPr>
              <w:pStyle w:val="Compact"/>
              <w:jc w:val="left"/>
            </w:pPr>
            <w:r>
              <w:t xml:space="preserve">Unit</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09</w:t>
            </w:r>
          </w:p>
        </w:tc>
        <w:tc>
          <w:tcPr/>
          <w:p>
            <w:pPr>
              <w:pStyle w:val="Compact"/>
              <w:jc w:val="left"/>
            </w:pPr>
            <w:r>
              <w:t xml:space="preserve">Refrigerated vaccine storage unit (2–8 °C, 120 L) — Equipment</w:t>
            </w:r>
          </w:p>
        </w:tc>
        <w:tc>
          <w:tcPr/>
          <w:p>
            <w:pPr>
              <w:pStyle w:val="Compact"/>
              <w:jc w:val="left"/>
            </w:pPr>
            <w:r>
              <w:t xml:space="preserve">REF-REF-120</w:t>
            </w:r>
          </w:p>
        </w:tc>
        <w:tc>
          <w:tcPr/>
          <w:p>
            <w:pPr>
              <w:pStyle w:val="Compact"/>
              <w:jc w:val="left"/>
            </w:pPr>
            <w:r>
              <w:t xml:space="preserve">1</w:t>
            </w:r>
          </w:p>
        </w:tc>
        <w:tc>
          <w:tcPr/>
          <w:p>
            <w:pPr>
              <w:pStyle w:val="Compact"/>
              <w:jc w:val="left"/>
            </w:pPr>
            <w:r>
              <w:t xml:space="preserve">Unit</w:t>
            </w:r>
          </w:p>
        </w:tc>
        <w:tc>
          <w:tcPr/>
          <w:p>
            <w:pPr>
              <w:pStyle w:val="Compact"/>
              <w:jc w:val="left"/>
            </w:pPr>
            <w:r>
              <w:t xml:space="preserve">2,890.00</w:t>
            </w:r>
          </w:p>
        </w:tc>
        <w:tc>
          <w:tcPr/>
          <w:p>
            <w:pPr>
              <w:pStyle w:val="Compact"/>
              <w:jc w:val="left"/>
            </w:pPr>
            <w:r>
              <w:t xml:space="preserve">2,890.00</w:t>
            </w:r>
          </w:p>
        </w:tc>
      </w:tr>
      <w:tr>
        <w:tc>
          <w:tcPr/>
          <w:p>
            <w:pPr>
              <w:pStyle w:val="Compact"/>
              <w:jc w:val="left"/>
            </w:pPr>
            <w:r>
              <w:t xml:space="preserve">10</w:t>
            </w:r>
          </w:p>
        </w:tc>
        <w:tc>
          <w:tcPr/>
          <w:p>
            <w:pPr>
              <w:pStyle w:val="Compact"/>
              <w:jc w:val="left"/>
            </w:pPr>
            <w:r>
              <w:t xml:space="preserve">Pharmaceutical waste disposal containers (5 L, biohazard) — Supplies</w:t>
            </w:r>
          </w:p>
        </w:tc>
        <w:tc>
          <w:tcPr/>
          <w:p>
            <w:pPr>
              <w:pStyle w:val="Compact"/>
              <w:jc w:val="left"/>
            </w:pPr>
            <w:r>
              <w:t xml:space="preserve">REF-WST-005</w:t>
            </w:r>
          </w:p>
        </w:tc>
        <w:tc>
          <w:tcPr/>
          <w:p>
            <w:pPr>
              <w:pStyle w:val="Compact"/>
              <w:jc w:val="left"/>
            </w:pPr>
            <w:r>
              <w:t xml:space="preserve">20</w:t>
            </w:r>
          </w:p>
        </w:tc>
        <w:tc>
          <w:tcPr/>
          <w:p>
            <w:pPr>
              <w:pStyle w:val="Compact"/>
              <w:jc w:val="left"/>
            </w:pPr>
            <w:r>
              <w:t xml:space="preserve">Units</w:t>
            </w:r>
          </w:p>
        </w:tc>
        <w:tc>
          <w:tcPr/>
          <w:p>
            <w:pPr>
              <w:pStyle w:val="Compact"/>
              <w:jc w:val="left"/>
            </w:pPr>
            <w:r>
              <w:t xml:space="preserve">12.00</w:t>
            </w:r>
          </w:p>
        </w:tc>
        <w:tc>
          <w:tcPr/>
          <w:p>
            <w:pPr>
              <w:pStyle w:val="Compact"/>
              <w:jc w:val="left"/>
            </w:pPr>
            <w:r>
              <w:t xml:space="preserve">240.00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(HT — Hors Taxes)</w:t>
            </w:r>
          </w:p>
        </w:tc>
        <w:tc>
          <w:tcPr/>
          <w:p>
            <w:pPr>
              <w:pStyle w:val="Compact"/>
              <w:jc w:val="left"/>
            </w:pPr>
            <w:r>
              <w:t xml:space="preserve">€ 8,923.50</w:t>
            </w:r>
          </w:p>
        </w:tc>
      </w:tr>
      <w:tr>
        <w:tc>
          <w:tcPr/>
          <w:p>
            <w:pPr>
              <w:pStyle w:val="Compact"/>
              <w:jc w:val="left"/>
            </w:pPr>
            <w:r>
              <w:t xml:space="preserve">TVA (VAT) 20% — France Paris</w:t>
            </w:r>
          </w:p>
        </w:tc>
        <w:tc>
          <w:tcPr/>
          <w:p>
            <w:pPr>
              <w:pStyle w:val="Compact"/>
              <w:jc w:val="left"/>
            </w:pPr>
            <w:r>
              <w:t xml:space="preserve">€ 1,784.70</w:t>
            </w:r>
          </w:p>
        </w:tc>
      </w:tr>
      <w:tr>
        <w:tc>
          <w:tcPr/>
          <w:p>
            <w:pPr>
              <w:pStyle w:val="Compact"/>
              <w:jc w:val="left"/>
            </w:pPr>
            <w:r>
              <w:t xml:space="preserve">Delivery surcharge (Paris intra-muros)</w:t>
            </w:r>
          </w:p>
        </w:tc>
        <w:tc>
          <w:tcPr/>
          <w:p>
            <w:pPr>
              <w:pStyle w:val="Compact"/>
              <w:jc w:val="left"/>
            </w:pPr>
            <w:r>
              <w:t xml:space="preserve">€ 85.00</w:t>
            </w:r>
          </w:p>
        </w:tc>
      </w:tr>
      <w:tr>
        <w:tc>
          <w:tcPr/>
          <w:p>
            <w:pPr>
              <w:pStyle w:val="Compact"/>
              <w:jc w:val="left"/>
            </w:pPr>
            <w:r>
              <w:t xml:space="preserve">Grand Total (TTC — Toutes Taxes Comprises)</w:t>
            </w:r>
          </w:p>
        </w:tc>
        <w:tc>
          <w:tcPr/>
          <w:p>
            <w:pPr>
              <w:pStyle w:val="Compact"/>
              <w:jc w:val="left"/>
            </w:pPr>
            <w:r>
              <w:t xml:space="preserve">€ 10,793.20</w:t>
            </w:r>
          </w:p>
        </w:tc>
      </w:tr>
    </w:tbl>
    <w:bookmarkEnd w:id="23"/>
    <w:bookmarkStart w:id="24" w:name="terms-and-conditions-of-purchase"/>
    <w:p>
      <w:pPr>
        <w:pStyle w:val="Heading2"/>
      </w:pPr>
      <w:r>
        <w:t xml:space="preserve">Terms and Conditions of Purchase</w:t>
      </w:r>
    </w:p>
    <w:p>
      <w:pPr>
        <w:numPr>
          <w:ilvl w:val="0"/>
          <w:numId w:val="1001"/>
        </w:numPr>
        <w:pStyle w:val="Compact"/>
      </w:pPr>
      <w:r>
        <w:rPr>
          <w:bCs/>
          <w:b/>
        </w:rPr>
        <w:t xml:space="preserve">Regulatory Compliance:</w:t>
      </w:r>
      <w:r>
        <w:t xml:space="preserve"> </w:t>
      </w:r>
      <w:r>
        <w:t xml:space="preserve">All pharmaceutical products listed in this Purchase Order must comply with the regulations set forth by the Agence Nationale de Sécurité du Médicament et des Produits de Santé (ANSM) and the European Medicines Agency (EMA). The Pharmacist, Dr. Claire Dubois, confirms that all prescription-only medicines (médicaments sur ordonnance) will be dispensed in strict accordance with French public health code (Code de la Santé Publique), Articles L.4111-1 through L.4111-12.</w:t>
      </w:r>
    </w:p>
    <w:p>
      <w:pPr>
        <w:numPr>
          <w:ilvl w:val="0"/>
          <w:numId w:val="1001"/>
        </w:numPr>
        <w:pStyle w:val="Compact"/>
      </w:pPr>
      <w:r>
        <w:rPr>
          <w:bCs/>
          <w:b/>
        </w:rPr>
        <w:t xml:space="preserve">Delivery Location:</w:t>
      </w:r>
      <w:r>
        <w:t xml:space="preserve"> </w:t>
      </w:r>
      <w:r>
        <w:t xml:space="preserve">All goods shall be delivered to the Pharmacie du Quartier Latin, 42 Rue de la Huchette, 75005 Paris, France. Delivery must be scheduled between 08:00 and 17:00 CET on business days. The supplier is responsible for cold-chain integrity for all temperature-sensitive pharmaceutical products upon arrival in France Paris.</w:t>
      </w:r>
    </w:p>
    <w:p>
      <w:pPr>
        <w:numPr>
          <w:ilvl w:val="0"/>
          <w:numId w:val="1001"/>
        </w:numPr>
        <w:pStyle w:val="Compact"/>
      </w:pPr>
      <w:r>
        <w:rPr>
          <w:bCs/>
          <w:b/>
        </w:rPr>
        <w:t xml:space="preserve">Payment Terms:</w:t>
      </w:r>
      <w:r>
        <w:t xml:space="preserve"> </w:t>
      </w:r>
      <w:r>
        <w:t xml:space="preserve">Payment shall be made by bank transfer (virement bancaire) within 30 days of the invoice date, in accordance with the French statutory payment terms (Article L.441-10 du Code de commerce). The Pharmacist's pharmacy account is held at BNP Paribas, RIB: 30006 00001 12345678901 29. Late payments shall incur interest at the rate prescribed by French law.</w:t>
      </w:r>
    </w:p>
    <w:p>
      <w:pPr>
        <w:numPr>
          <w:ilvl w:val="0"/>
          <w:numId w:val="1001"/>
        </w:numPr>
        <w:pStyle w:val="Compact"/>
      </w:pPr>
      <w:r>
        <w:rPr>
          <w:bCs/>
          <w:b/>
        </w:rPr>
        <w:t xml:space="preserve">Quality Assurance:</w:t>
      </w:r>
      <w:r>
        <w:t xml:space="preserve"> </w:t>
      </w:r>
      <w:r>
        <w:t xml:space="preserve">The supplier warrants that all pharmaceutical products are manufactured in facilities holding a valid European Good Manufacturing Practice (GMP) certificate. Each batch must be accompanied by a Certificate of Analysis (CoA) and a Certificate of Origin. The Pharmacist reserves the right to reject any shipment that does not meet the quality standards required for dispensing in a French community pharmacy.</w:t>
      </w:r>
    </w:p>
    <w:p>
      <w:pPr>
        <w:numPr>
          <w:ilvl w:val="0"/>
          <w:numId w:val="1001"/>
        </w:numPr>
        <w:pStyle w:val="Compact"/>
      </w:pPr>
      <w:r>
        <w:rPr>
          <w:bCs/>
          <w:b/>
        </w:rPr>
        <w:t xml:space="preserve">Pharmacist's Liability and Dispensing:</w:t>
      </w:r>
      <w:r>
        <w:t xml:space="preserve"> </w:t>
      </w:r>
      <w:r>
        <w:t xml:space="preserve">The Pharmacist acknowledges full professional responsibility for the verification, storage, and dispensing of all products received under this Purchase Order. The Pharmacist shall maintain an accurate pharmaceutical register (registre des médicaments) as mandated by the Ordre des Pharmaciens d'Île-de-France and shall report any adverse drug reactions to the pharmacovigilance system within the timeframe required by French law.</w:t>
      </w:r>
    </w:p>
    <w:p>
      <w:pPr>
        <w:numPr>
          <w:ilvl w:val="0"/>
          <w:numId w:val="1001"/>
        </w:numPr>
        <w:pStyle w:val="Compact"/>
      </w:pPr>
      <w:r>
        <w:rPr>
          <w:bCs/>
          <w:b/>
        </w:rPr>
        <w:t xml:space="preserve">Warranty and Returns:</w:t>
      </w:r>
      <w:r>
        <w:t xml:space="preserve"> </w:t>
      </w:r>
      <w:r>
        <w:t xml:space="preserve">Equipment items (compounding balance, refrigerated storage unit) carry a minimum 24-month manufacturer warranty. Pharmaceutical products may be returned within 90 days of delivery if unopened and within their expiry date, subject to the supplier's return policy. All returns must be authorized in writing by the Pharmacist prior to dispatch.</w:t>
      </w:r>
    </w:p>
    <w:p>
      <w:pPr>
        <w:numPr>
          <w:ilvl w:val="0"/>
          <w:numId w:val="1001"/>
        </w:numPr>
        <w:pStyle w:val="Compact"/>
      </w:pPr>
      <w:r>
        <w:rPr>
          <w:bCs/>
          <w:b/>
        </w:rPr>
        <w:t xml:space="preserve">Governing Law and Jurisdiction:</w:t>
      </w:r>
      <w:r>
        <w:t xml:space="preserve"> </w:t>
      </w:r>
      <w:r>
        <w:t xml:space="preserve">This Purchase Order is governed by the laws of the French Republic. Any dispute arising from or in connection with this document shall be submitted to the exclusive jurisdiction of the Tribunal de Commerce de Paris, France. Both parties agree to attempt amicable resolution before initiating any legal proceedings.</w:t>
      </w:r>
    </w:p>
    <w:p>
      <w:pPr>
        <w:numPr>
          <w:ilvl w:val="0"/>
          <w:numId w:val="1001"/>
        </w:numPr>
        <w:pStyle w:val="Compact"/>
      </w:pPr>
      <w:r>
        <w:rPr>
          <w:bCs/>
          <w:b/>
        </w:rPr>
        <w:t xml:space="preserve">Confidentiality:</w:t>
      </w:r>
      <w:r>
        <w:t xml:space="preserve"> </w:t>
      </w:r>
      <w:r>
        <w:t xml:space="preserve">All information exchanged in connection with this Purchase Order, including patient-related data that may be referenced in dispensing records, is subject to the General Data Protection Regulation (GDPR) and the French Data Protection Act (Loi Informatique et Libertés). The Pharmacist and the supplier shall ensure that no personal health data is disclosed to unauthorized third parties.</w:t>
      </w:r>
    </w:p>
    <w:p>
      <w:pPr>
        <w:numPr>
          <w:ilvl w:val="0"/>
          <w:numId w:val="1001"/>
        </w:numPr>
        <w:pStyle w:val="Compact"/>
      </w:pPr>
      <w:r>
        <w:rPr>
          <w:bCs/>
          <w:b/>
        </w:rPr>
        <w:t xml:space="preserve">Validity:</w:t>
      </w:r>
      <w:r>
        <w:t xml:space="preserve"> </w:t>
      </w:r>
      <w:r>
        <w:t xml:space="preserve">This Purchase Order is valid for a period of 30 calendar days from the date of issuance. If the supplier is unable to fulfill any line item within this period, the Pharmacist reserves the right to cancel the affected items without penalty and source the products from an alternative ANSM-registered supplier in France Paris.</w:t>
      </w:r>
    </w:p>
    <w:bookmarkEnd w:id="24"/>
    <w:bookmarkStart w:id="25" w:name="authorization-and-signatures"/>
    <w:p>
      <w:pPr>
        <w:pStyle w:val="Heading2"/>
      </w:pPr>
      <w:r>
        <w:t xml:space="preserve">Authorization and Signatures</w:t>
      </w:r>
    </w:p>
    <w:p>
      <w:pPr>
        <w:pStyle w:val="FirstParagraph"/>
      </w:pPr>
      <w:r>
        <w:rPr>
          <w:bCs/>
          <w:b/>
        </w:rPr>
        <w:t xml:space="preserve">Prepared and Authorized by (Pharmacist / Buyer):</w:t>
      </w:r>
    </w:p>
    <w:p>
      <w:pPr>
        <w:pStyle w:val="BodyText"/>
      </w:pPr>
      <w:r>
        <w:t xml:space="preserve">Dr. Claire Dubois, Pharm.D.</w:t>
      </w:r>
      <w:r>
        <w:br/>
      </w:r>
      <w:r>
        <w:t xml:space="preserve">Pharmacie du Quartier Latin</w:t>
      </w:r>
      <w:r>
        <w:br/>
      </w:r>
      <w:r>
        <w:t xml:space="preserve">Paris, France</w:t>
      </w:r>
      <w:r>
        <w:br/>
      </w:r>
      <w:r>
        <w:t xml:space="preserve">Date: 14 June 2025</w:t>
      </w:r>
    </w:p>
    <w:p>
      <w:pPr>
        <w:pStyle w:val="BodyText"/>
      </w:pPr>
      <w:r>
        <w:rPr>
          <w:bCs/>
          <w:b/>
        </w:rPr>
        <w:t xml:space="preserve">Accepted and Confirmed by (Supplier):</w:t>
      </w:r>
    </w:p>
    <w:p>
      <w:pPr>
        <w:pStyle w:val="BodyText"/>
      </w:pPr>
      <w:r>
        <w:t xml:space="preserve">M. Laurent Moreau, Sales Director</w:t>
      </w:r>
      <w:r>
        <w:br/>
      </w:r>
      <w:r>
        <w:t xml:space="preserve">Laboratoires Pharmaceutiques Méridien SAS</w:t>
      </w:r>
      <w:r>
        <w:br/>
      </w:r>
      <w:r>
        <w:t xml:space="preserve">Paris, France</w:t>
      </w:r>
      <w:r>
        <w:br/>
      </w:r>
      <w:r>
        <w:t xml:space="preserve">Date: _______________</w:t>
      </w:r>
    </w:p>
    <w:p>
      <w:pPr>
        <w:pStyle w:val="BodyText"/>
      </w:pPr>
      <w:r>
        <w:t xml:space="preserve">This Purchase Order (PO No: FR-PS-2025-04872) is an official procurement document issued by a licensed Pharmacist operating in France Paris. It is subject to the French Code de la Santé Publique, the Code de commerce, and applicable European Union pharmaceutical directives. Document generated on 14 June 2025. For any queries, contact the Pharmacist at the address listed above.</w:t>
      </w:r>
    </w:p>
    <w:p>
      <w:pPr>
        <w:pStyle w:val="BodyText"/>
      </w:pPr>
      <w:r>
        <w:t xml:space="preserve">© 2025 Pharmacie du Quartier Latin — 75005 Paris, France.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Pharmacist - France Paris</dc:title>
  <dc:creator/>
  <dc:language>en</dc:language>
  <cp:keywords/>
  <dcterms:created xsi:type="dcterms:W3CDTF">2026-10-10T05:48:09Z</dcterms:created>
  <dcterms:modified xsi:type="dcterms:W3CDTF">2026-10-10T05:48:09Z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