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Pharmacist</w:t>
      </w:r>
      <w:r>
        <w:t xml:space="preserve"> </w:t>
      </w:r>
      <w:r>
        <w:t xml:space="preserve">Supply</w:t>
      </w:r>
      <w:r>
        <w:t xml:space="preserve"> </w:t>
      </w:r>
      <w:r>
        <w:t xml:space="preserve">-</w:t>
      </w:r>
      <w:r>
        <w:t xml:space="preserve"> </w:t>
      </w:r>
      <w:r>
        <w:t xml:space="preserve">Germany</w:t>
      </w:r>
      <w:r>
        <w:t xml:space="preserve"> </w:t>
      </w:r>
      <w:r>
        <w:t xml:space="preserve">Frankfurt</w:t>
      </w:r>
    </w:p>
    <w:bookmarkStart w:id="20" w:name="purchase-order"/>
    <w:p>
      <w:pPr>
        <w:pStyle w:val="Heading1"/>
      </w:pPr>
      <w:r>
        <w:t xml:space="preserve">PURCHASE ORDER</w:t>
      </w:r>
    </w:p>
    <w:p>
      <w:pPr>
        <w:pStyle w:val="FirstParagraph"/>
      </w:pPr>
      <w:r>
        <w:t xml:space="preserve">Pharmaceutical Supply &amp; Professional Services – Pharmacist Operations</w:t>
      </w:r>
    </w:p>
    <w:p>
      <w:pPr>
        <w:pStyle w:val="BodyText"/>
      </w:pPr>
      <w:r>
        <w:t xml:space="preserve">Frankfurt am Main, Germany</w:t>
      </w:r>
    </w:p>
    <w:p>
      <w:pPr>
        <w:pStyle w:val="BodyText"/>
      </w:pPr>
      <w:r>
        <w:t xml:space="preserve">PO No. FRK-2025-04871</w:t>
      </w:r>
    </w:p>
    <w:bookmarkEnd w:id="20"/>
    <w:p>
      <w:pPr>
        <w:pStyle w:val="BodyText"/>
      </w:pP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Currency:</w:t>
      </w:r>
      <w:r>
        <w:t xml:space="preserve"> </w:t>
      </w:r>
      <w:r>
        <w:t xml:space="preserve">EUR (€)</w:t>
      </w:r>
    </w:p>
    <w:p>
      <w:pPr>
        <w:pStyle w:val="BodyText"/>
      </w:pPr>
      <w:r>
        <w:rPr>
          <w:bCs/>
          <w:b/>
        </w:rPr>
        <w:t xml:space="preserve">Delivery Location:</w:t>
      </w:r>
      <w:r>
        <w:t xml:space="preserve"> </w:t>
      </w:r>
      <w:r>
        <w:t xml:space="preserve">Frankfurt am Main, Hesse, Germany</w:t>
      </w:r>
      <w:r>
        <w:br/>
      </w:r>
      <w:r>
        <w:rPr>
          <w:bCs/>
          <w:b/>
        </w:rPr>
        <w:t xml:space="preserve">Incoterms:</w:t>
      </w:r>
      <w:r>
        <w:t xml:space="preserve"> </w:t>
      </w:r>
      <w:r>
        <w:t xml:space="preserve">DAP Frankfurt (2020)</w:t>
      </w:r>
      <w:r>
        <w:br/>
      </w:r>
      <w:r>
        <w:rPr>
          <w:bCs/>
          <w:b/>
        </w:rPr>
        <w:t xml:space="preserve">Language of Contract:</w:t>
      </w:r>
      <w:r>
        <w:t xml:space="preserve"> </w:t>
      </w:r>
      <w:r>
        <w:t xml:space="preserve">English</w:t>
      </w:r>
    </w:p>
    <w:p>
      <w:pPr>
        <w:pStyle w:val="BodyText"/>
      </w:pPr>
      <w:r>
        <w:t xml:space="preserve">1. Purchasing Party (Buyer) – Pharmacist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Business Name</w:t>
            </w:r>
          </w:p>
        </w:tc>
        <w:tc>
          <w:tcPr/>
          <w:p>
            <w:pPr>
              <w:pStyle w:val="Compact"/>
              <w:jc w:val="left"/>
            </w:pPr>
            <w:r>
              <w:t xml:space="preserve">Dr. Anna Schneider – Apothekerin (Licensed Pharmacist)</w:t>
            </w:r>
          </w:p>
        </w:tc>
      </w:tr>
      <w:tr>
        <w:tc>
          <w:tcPr/>
          <w:p>
            <w:pPr>
              <w:pStyle w:val="Compact"/>
              <w:jc w:val="left"/>
            </w:pPr>
            <w:r>
              <w:t xml:space="preserve">Address</w:t>
            </w:r>
          </w:p>
        </w:tc>
        <w:tc>
          <w:tcPr/>
          <w:p>
            <w:pPr>
              <w:pStyle w:val="Compact"/>
              <w:jc w:val="left"/>
            </w:pPr>
            <w:r>
              <w:t xml:space="preserve">Bockenheimer Landstraße 142, 60323 Frankfurt am Main, Germany</w:t>
            </w:r>
          </w:p>
        </w:tc>
      </w:tr>
      <w:tr>
        <w:tc>
          <w:tcPr/>
          <w:p>
            <w:pPr>
              <w:pStyle w:val="Compact"/>
              <w:jc w:val="left"/>
            </w:pPr>
            <w:r>
              <w:t xml:space="preserve">License No.</w:t>
            </w:r>
          </w:p>
        </w:tc>
        <w:tc>
          <w:tcPr/>
          <w:p>
            <w:pPr>
              <w:pStyle w:val="Compact"/>
              <w:jc w:val="left"/>
            </w:pPr>
            <w:r>
              <w:t xml:space="preserve">Pharmazie-Lizenz HES-2019-00482 (Hessian State Pharmacy Authority)</w:t>
            </w:r>
          </w:p>
        </w:tc>
      </w:tr>
      <w:tr>
        <w:tc>
          <w:tcPr/>
          <w:p>
            <w:pPr>
              <w:pStyle w:val="Compact"/>
              <w:jc w:val="left"/>
            </w:pPr>
            <w:r>
              <w:t xml:space="preserve">VAT ID (USt-IdNr.)</w:t>
            </w:r>
          </w:p>
        </w:tc>
        <w:tc>
          <w:tcPr/>
          <w:p>
            <w:pPr>
              <w:pStyle w:val="Compact"/>
              <w:jc w:val="left"/>
            </w:pPr>
            <w:r>
              <w:t xml:space="preserve">DE 318 456 721</w:t>
            </w:r>
          </w:p>
        </w:tc>
      </w:tr>
      <w:tr>
        <w:tc>
          <w:tcPr/>
          <w:p>
            <w:pPr>
              <w:pStyle w:val="Compact"/>
              <w:jc w:val="left"/>
            </w:pPr>
            <w:r>
              <w:t xml:space="preserve">Contact</w:t>
            </w:r>
          </w:p>
        </w:tc>
        <w:tc>
          <w:tcPr/>
          <w:p>
            <w:pPr>
              <w:pStyle w:val="Compact"/>
              <w:jc w:val="left"/>
            </w:pPr>
            <w:r>
              <w:t xml:space="preserve">Dr. Anna Schneider, Pharmacist in Charge | Tel: +49 69 555 0142 | Email: a.schneider@apotheke-frankfurt.de</w:t>
            </w:r>
          </w:p>
        </w:tc>
      </w:tr>
    </w:tbl>
    <w:p>
      <w:pPr>
        <w:pStyle w:val="BodyText"/>
      </w:pPr>
      <w:r>
        <w:t xml:space="preserve">2. Supplier (Vendor)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PharmaLogistik Rhein-Main GmbH</w:t>
            </w:r>
          </w:p>
        </w:tc>
      </w:tr>
      <w:tr>
        <w:tc>
          <w:tcPr/>
          <w:p>
            <w:pPr>
              <w:pStyle w:val="Compact"/>
              <w:jc w:val="left"/>
            </w:pPr>
            <w:r>
              <w:t xml:space="preserve">Address</w:t>
            </w:r>
          </w:p>
        </w:tc>
        <w:tc>
          <w:tcPr/>
          <w:p>
            <w:pPr>
              <w:pStyle w:val="Compact"/>
              <w:jc w:val="left"/>
            </w:pPr>
            <w:r>
              <w:t xml:space="preserve">Industriestraße 88, 65929 Frankfurt am Main, Germany</w:t>
            </w:r>
          </w:p>
        </w:tc>
      </w:tr>
      <w:tr>
        <w:tc>
          <w:tcPr/>
          <w:p>
            <w:pPr>
              <w:pStyle w:val="Compact"/>
              <w:jc w:val="left"/>
            </w:pPr>
            <w:r>
              <w:t xml:space="preserve">VAT ID</w:t>
            </w:r>
          </w:p>
        </w:tc>
        <w:tc>
          <w:tcPr/>
          <w:p>
            <w:pPr>
              <w:pStyle w:val="Compact"/>
              <w:jc w:val="left"/>
            </w:pPr>
            <w:r>
              <w:t xml:space="preserve">DE 297 883 415</w:t>
            </w:r>
          </w:p>
        </w:tc>
      </w:tr>
      <w:tr>
        <w:tc>
          <w:tcPr/>
          <w:p>
            <w:pPr>
              <w:pStyle w:val="Compact"/>
              <w:jc w:val="left"/>
            </w:pPr>
            <w:r>
              <w:t xml:space="preserve">Contact</w:t>
            </w:r>
          </w:p>
        </w:tc>
        <w:tc>
          <w:tcPr/>
          <w:p>
            <w:pPr>
              <w:pStyle w:val="Compact"/>
              <w:jc w:val="left"/>
            </w:pPr>
            <w:r>
              <w:t xml:space="preserve">Mr. Thomas Berger, Sales Director | Tel: +49 69 771 2200 | Email: t.berger@pharmalogistik-rm.de</w:t>
            </w:r>
          </w:p>
        </w:tc>
      </w:tr>
    </w:tbl>
    <w:p>
      <w:pPr>
        <w:pStyle w:val="BodyText"/>
      </w:pPr>
      <w:r>
        <w:t xml:space="preserve">3. Purchase Order Line Items – Pharmaceutical Products &amp; Pharmacist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001</w:t>
            </w:r>
          </w:p>
        </w:tc>
        <w:tc>
          <w:tcPr/>
          <w:p>
            <w:pPr>
              <w:pStyle w:val="Compact"/>
              <w:jc w:val="left"/>
            </w:pPr>
            <w:r>
              <w:t xml:space="preserve">Amoxicillin 500 mg capsules, 28-count blister packs (Rx – prescription-only, per German Arzneimittelgesetz §4)</w:t>
            </w:r>
          </w:p>
        </w:tc>
        <w:tc>
          <w:tcPr/>
          <w:p>
            <w:pPr>
              <w:pStyle w:val="Compact"/>
              <w:jc w:val="left"/>
            </w:pPr>
            <w:r>
              <w:t xml:space="preserve">200</w:t>
            </w:r>
          </w:p>
        </w:tc>
        <w:tc>
          <w:tcPr/>
          <w:p>
            <w:pPr>
              <w:pStyle w:val="Compact"/>
              <w:jc w:val="left"/>
            </w:pPr>
            <w:r>
              <w:t xml:space="preserve">boxes</w:t>
            </w:r>
          </w:p>
        </w:tc>
        <w:tc>
          <w:tcPr/>
          <w:p>
            <w:pPr>
              <w:pStyle w:val="Compact"/>
              <w:jc w:val="left"/>
            </w:pPr>
            <w:r>
              <w:t xml:space="preserve">12.40</w:t>
            </w:r>
          </w:p>
        </w:tc>
        <w:tc>
          <w:tcPr/>
          <w:p>
            <w:pPr>
              <w:pStyle w:val="Compact"/>
              <w:jc w:val="left"/>
            </w:pPr>
            <w:r>
              <w:t xml:space="preserve">2,480.00</w:t>
            </w:r>
          </w:p>
        </w:tc>
      </w:tr>
      <w:tr>
        <w:tc>
          <w:tcPr/>
          <w:p>
            <w:pPr>
              <w:pStyle w:val="Compact"/>
              <w:jc w:val="left"/>
            </w:pPr>
            <w:r>
              <w:t xml:space="preserve">002</w:t>
            </w:r>
          </w:p>
        </w:tc>
        <w:tc>
          <w:tcPr/>
          <w:p>
            <w:pPr>
              <w:pStyle w:val="Compact"/>
              <w:jc w:val="left"/>
            </w:pPr>
            <w:r>
              <w:t xml:space="preserve">Insulin Glargine 100 IE/ml, 3 ml prefilled pens (cold-chain storage required, 2–8 °C)</w:t>
            </w:r>
          </w:p>
        </w:tc>
        <w:tc>
          <w:tcPr/>
          <w:p>
            <w:pPr>
              <w:pStyle w:val="Compact"/>
              <w:jc w:val="left"/>
            </w:pPr>
            <w:r>
              <w:t xml:space="preserve">150</w:t>
            </w:r>
          </w:p>
        </w:tc>
        <w:tc>
          <w:tcPr/>
          <w:p>
            <w:pPr>
              <w:pStyle w:val="Compact"/>
              <w:jc w:val="left"/>
            </w:pPr>
            <w:r>
              <w:t xml:space="preserve">units</w:t>
            </w:r>
          </w:p>
        </w:tc>
        <w:tc>
          <w:tcPr/>
          <w:p>
            <w:pPr>
              <w:pStyle w:val="Compact"/>
              <w:jc w:val="left"/>
            </w:pPr>
            <w:r>
              <w:t xml:space="preserve">38.75</w:t>
            </w:r>
          </w:p>
        </w:tc>
        <w:tc>
          <w:tcPr/>
          <w:p>
            <w:pPr>
              <w:pStyle w:val="Compact"/>
              <w:jc w:val="left"/>
            </w:pPr>
            <w:r>
              <w:t xml:space="preserve">5,812.50</w:t>
            </w:r>
          </w:p>
        </w:tc>
      </w:tr>
      <w:tr>
        <w:tc>
          <w:tcPr/>
          <w:p>
            <w:pPr>
              <w:pStyle w:val="Compact"/>
              <w:jc w:val="left"/>
            </w:pPr>
            <w:r>
              <w:t xml:space="preserve">003</w:t>
            </w:r>
          </w:p>
        </w:tc>
        <w:tc>
          <w:tcPr/>
          <w:p>
            <w:pPr>
              <w:pStyle w:val="Compact"/>
              <w:jc w:val="left"/>
            </w:pPr>
            <w:r>
              <w:t xml:space="preserve">Pharmacist compounding workstation – stainless steel, GMP-compliant, with HEPA filtration</w:t>
            </w:r>
          </w:p>
        </w:tc>
        <w:tc>
          <w:tcPr/>
          <w:p>
            <w:pPr>
              <w:pStyle w:val="Compact"/>
              <w:jc w:val="left"/>
            </w:pPr>
            <w:r>
              <w:t xml:space="preserve">1</w:t>
            </w:r>
          </w:p>
        </w:tc>
        <w:tc>
          <w:tcPr/>
          <w:p>
            <w:pPr>
              <w:pStyle w:val="Compact"/>
              <w:jc w:val="left"/>
            </w:pPr>
            <w:r>
              <w:t xml:space="preserve">unit</w:t>
            </w:r>
          </w:p>
        </w:tc>
        <w:tc>
          <w:tcPr/>
          <w:p>
            <w:pPr>
              <w:pStyle w:val="Compact"/>
              <w:jc w:val="left"/>
            </w:pPr>
            <w:r>
              <w:t xml:space="preserve">4,250.00</w:t>
            </w:r>
          </w:p>
        </w:tc>
        <w:tc>
          <w:tcPr/>
          <w:p>
            <w:pPr>
              <w:pStyle w:val="Compact"/>
              <w:jc w:val="left"/>
            </w:pPr>
            <w:r>
              <w:t xml:space="preserve">4,250.00</w:t>
            </w:r>
          </w:p>
        </w:tc>
      </w:tr>
      <w:tr>
        <w:tc>
          <w:tcPr/>
          <w:p>
            <w:pPr>
              <w:pStyle w:val="Compact"/>
              <w:jc w:val="left"/>
            </w:pPr>
            <w:r>
              <w:t xml:space="preserve">004</w:t>
            </w:r>
          </w:p>
        </w:tc>
        <w:tc>
          <w:tcPr/>
          <w:p>
            <w:pPr>
              <w:pStyle w:val="Compact"/>
              <w:jc w:val="left"/>
            </w:pPr>
            <w:r>
              <w:t xml:space="preserve">Pharmaceutical-grade digital balance (0.001 g precision), calibrated per German Eichgesetz</w:t>
            </w:r>
          </w:p>
        </w:tc>
        <w:tc>
          <w:tcPr/>
          <w:p>
            <w:pPr>
              <w:pStyle w:val="Compact"/>
              <w:jc w:val="left"/>
            </w:pPr>
            <w:r>
              <w:t xml:space="preserve">2</w:t>
            </w:r>
          </w:p>
        </w:tc>
        <w:tc>
          <w:tcPr/>
          <w:p>
            <w:pPr>
              <w:pStyle w:val="Compact"/>
              <w:jc w:val="left"/>
            </w:pPr>
            <w:r>
              <w:t xml:space="preserve">units</w:t>
            </w:r>
          </w:p>
        </w:tc>
        <w:tc>
          <w:tcPr/>
          <w:p>
            <w:pPr>
              <w:pStyle w:val="Compact"/>
              <w:jc w:val="left"/>
            </w:pPr>
            <w:r>
              <w:t xml:space="preserve">1,890.00</w:t>
            </w:r>
          </w:p>
        </w:tc>
        <w:tc>
          <w:tcPr/>
          <w:p>
            <w:pPr>
              <w:pStyle w:val="Compact"/>
              <w:jc w:val="left"/>
            </w:pPr>
            <w:r>
              <w:t xml:space="preserve">3,780.00</w:t>
            </w:r>
          </w:p>
        </w:tc>
      </w:tr>
      <w:tr>
        <w:tc>
          <w:tcPr/>
          <w:p>
            <w:pPr>
              <w:pStyle w:val="Compact"/>
              <w:jc w:val="left"/>
            </w:pPr>
            <w:r>
              <w:t xml:space="preserve">005</w:t>
            </w:r>
          </w:p>
        </w:tc>
        <w:tc>
          <w:tcPr/>
          <w:p>
            <w:pPr>
              <w:pStyle w:val="Compact"/>
              <w:jc w:val="left"/>
            </w:pPr>
            <w:r>
              <w:t xml:space="preserve">Pharmacist PPE kit: nitrile gloves (size M, 1000 pcs), N95 masks (500 pcs), lab coats (10 pcs)</w:t>
            </w:r>
          </w:p>
        </w:tc>
        <w:tc>
          <w:tcPr/>
          <w:p>
            <w:pPr>
              <w:pStyle w:val="Compact"/>
              <w:jc w:val="left"/>
            </w:pPr>
            <w:r>
              <w:t xml:space="preserve">1</w:t>
            </w:r>
          </w:p>
        </w:tc>
        <w:tc>
          <w:tcPr/>
          <w:p>
            <w:pPr>
              <w:pStyle w:val="Compact"/>
              <w:jc w:val="left"/>
            </w:pPr>
            <w:r>
              <w:t xml:space="preserve">set</w:t>
            </w:r>
          </w:p>
        </w:tc>
        <w:tc>
          <w:tcPr/>
          <w:p>
            <w:pPr>
              <w:pStyle w:val="Compact"/>
              <w:jc w:val="left"/>
            </w:pPr>
            <w:r>
              <w:t xml:space="preserve">345.00</w:t>
            </w:r>
          </w:p>
        </w:tc>
        <w:tc>
          <w:tcPr/>
          <w:p>
            <w:pPr>
              <w:pStyle w:val="Compact"/>
              <w:jc w:val="left"/>
            </w:pPr>
            <w:r>
              <w:t xml:space="preserve">345.00</w:t>
            </w:r>
          </w:p>
        </w:tc>
      </w:tr>
      <w:tr>
        <w:tc>
          <w:tcPr/>
          <w:p>
            <w:pPr>
              <w:pStyle w:val="Compact"/>
              <w:jc w:val="left"/>
            </w:pPr>
            <w:r>
              <w:t xml:space="preserve">006</w:t>
            </w:r>
          </w:p>
        </w:tc>
        <w:tc>
          <w:tcPr/>
          <w:p>
            <w:pPr>
              <w:pStyle w:val="Compact"/>
              <w:jc w:val="left"/>
            </w:pPr>
            <w:r>
              <w:t xml:space="preserve">Pharmaceutical cold-chain transport case, 48 L, validated for 72 h at 2–8 °C (for delivery within Frankfurt metropolitan area)</w:t>
            </w:r>
          </w:p>
        </w:tc>
        <w:tc>
          <w:tcPr/>
          <w:p>
            <w:pPr>
              <w:pStyle w:val="Compact"/>
              <w:jc w:val="left"/>
            </w:pPr>
            <w:r>
              <w:t xml:space="preserve">4</w:t>
            </w:r>
          </w:p>
        </w:tc>
        <w:tc>
          <w:tcPr/>
          <w:p>
            <w:pPr>
              <w:pStyle w:val="Compact"/>
              <w:jc w:val="left"/>
            </w:pPr>
            <w:r>
              <w:t xml:space="preserve">units</w:t>
            </w:r>
          </w:p>
        </w:tc>
        <w:tc>
          <w:tcPr/>
          <w:p>
            <w:pPr>
              <w:pStyle w:val="Compact"/>
              <w:jc w:val="left"/>
            </w:pPr>
            <w:r>
              <w:t xml:space="preserve">620.00</w:t>
            </w:r>
          </w:p>
        </w:tc>
        <w:tc>
          <w:tcPr/>
          <w:p>
            <w:pPr>
              <w:pStyle w:val="Compact"/>
              <w:jc w:val="left"/>
            </w:pPr>
            <w:r>
              <w:t xml:space="preserve">2,480.00</w:t>
            </w:r>
          </w:p>
        </w:tc>
      </w:tr>
      <w:tr>
        <w:tc>
          <w:tcPr/>
          <w:p>
            <w:pPr>
              <w:pStyle w:val="Compact"/>
              <w:jc w:val="left"/>
            </w:pPr>
            <w:r>
              <w:t xml:space="preserve">007</w:t>
            </w:r>
          </w:p>
        </w:tc>
        <w:tc>
          <w:tcPr/>
          <w:p>
            <w:pPr>
              <w:pStyle w:val="Compact"/>
              <w:jc w:val="left"/>
            </w:pPr>
            <w:r>
              <w:t xml:space="preserve">Annual software license – Pharmacist inventory &amp; prescription management system (APOTHEKE-PRO v9.2), compliant with German E-Rezept mandate</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2,100.00</w:t>
            </w:r>
          </w:p>
        </w:tc>
        <w:tc>
          <w:tcPr/>
          <w:p>
            <w:pPr>
              <w:pStyle w:val="Compact"/>
              <w:jc w:val="left"/>
            </w:pPr>
            <w:r>
              <w:t xml:space="preserve">2,100.00</w:t>
            </w:r>
          </w:p>
        </w:tc>
      </w:tr>
      <w:tr>
        <w:tc>
          <w:tcPr/>
          <w:p>
            <w:pPr>
              <w:pStyle w:val="Compact"/>
              <w:jc w:val="left"/>
            </w:pPr>
            <w:r>
              <w:t xml:space="preserve">008</w:t>
            </w:r>
          </w:p>
        </w:tc>
        <w:tc>
          <w:tcPr/>
          <w:p>
            <w:pPr>
              <w:pStyle w:val="Compact"/>
              <w:jc w:val="left"/>
            </w:pPr>
            <w:r>
              <w:t xml:space="preserve">Pharmacist continuing education (CPE) – 1-day workshop on oncology pharmacy, hosted in Frankfurt am Main</w:t>
            </w:r>
          </w:p>
        </w:tc>
        <w:tc>
          <w:tcPr/>
          <w:p>
            <w:pPr>
              <w:pStyle w:val="Compact"/>
              <w:jc w:val="left"/>
            </w:pPr>
            <w:r>
              <w:t xml:space="preserve">1</w:t>
            </w:r>
          </w:p>
        </w:tc>
        <w:tc>
          <w:tcPr/>
          <w:p>
            <w:pPr>
              <w:pStyle w:val="Compact"/>
              <w:jc w:val="left"/>
            </w:pPr>
            <w:r>
              <w:t xml:space="preserve">seat</w:t>
            </w:r>
          </w:p>
        </w:tc>
        <w:tc>
          <w:tcPr/>
          <w:p>
            <w:pPr>
              <w:pStyle w:val="Compact"/>
              <w:jc w:val="left"/>
            </w:pPr>
            <w:r>
              <w:t xml:space="preserve">480.00</w:t>
            </w:r>
          </w:p>
        </w:tc>
        <w:tc>
          <w:tcPr/>
          <w:p>
            <w:pPr>
              <w:pStyle w:val="Compact"/>
              <w:jc w:val="left"/>
            </w:pPr>
            <w:r>
              <w:t xml:space="preserve">480.00</w:t>
            </w:r>
          </w:p>
        </w:tc>
      </w:tr>
      <w:tr>
        <w:tc>
          <w:tcPr>
            <w:gridSpan w:val="5"/>
          </w:tcPr>
          <w:p>
            <w:pPr>
              <w:pStyle w:val="Compact"/>
              <w:jc w:val="left"/>
            </w:pPr>
            <w:r>
              <w:t xml:space="preserve">Subtotal</w:t>
            </w:r>
          </w:p>
        </w:tc>
        <w:tc>
          <w:tcPr/>
          <w:p>
            <w:pPr>
              <w:pStyle w:val="Compact"/>
              <w:jc w:val="left"/>
            </w:pPr>
            <w:r>
              <w:t xml:space="preserve">21,727.50</w:t>
            </w:r>
          </w:p>
        </w:tc>
      </w:tr>
      <w:tr>
        <w:tc>
          <w:tcPr>
            <w:gridSpan w:val="5"/>
          </w:tcPr>
          <w:p>
            <w:pPr>
              <w:pStyle w:val="Compact"/>
              <w:jc w:val="left"/>
            </w:pPr>
            <w:r>
              <w:t xml:space="preserve">VAT (Mehrwertsteuer) 19 %</w:t>
            </w:r>
          </w:p>
        </w:tc>
        <w:tc>
          <w:tcPr/>
          <w:p>
            <w:pPr>
              <w:pStyle w:val="Compact"/>
              <w:jc w:val="left"/>
            </w:pPr>
            <w:r>
              <w:t xml:space="preserve">4,128.23</w:t>
            </w:r>
          </w:p>
        </w:tc>
      </w:tr>
      <w:tr>
        <w:tc>
          <w:tcPr>
            <w:gridSpan w:val="5"/>
          </w:tcPr>
          <w:p>
            <w:pPr>
              <w:pStyle w:val="Compact"/>
              <w:jc w:val="left"/>
            </w:pPr>
            <w:r>
              <w:t xml:space="preserve">Total Amount Due (EUR)</w:t>
            </w:r>
          </w:p>
        </w:tc>
        <w:tc>
          <w:tcPr/>
          <w:p>
            <w:pPr>
              <w:pStyle w:val="Compact"/>
              <w:jc w:val="left"/>
            </w:pPr>
            <w:r>
              <w:t xml:space="preserve">25,855.73</w:t>
            </w:r>
          </w:p>
        </w:tc>
      </w:tr>
    </w:tbl>
    <w:p>
      <w:pPr>
        <w:pStyle w:val="BodyText"/>
      </w:pPr>
      <w:r>
        <w:t xml:space="preserve">4. Delivery &amp; Logistics – Germany Frankfurt</w:t>
      </w:r>
    </w:p>
    <w:p>
      <w:pPr>
        <w:pStyle w:val="BodyText"/>
      </w:pPr>
      <w:r>
        <w:t xml:space="preserve">All goods under this Purchase Order shall be delivered to the Pharmacist's registered pharmacy premises at Bockenheimer Landstraße 142, 60323 Frankfurt am Main, Germany. Delivery shall be completed no later than</w:t>
      </w:r>
      <w:r>
        <w:t xml:space="preserve"> </w:t>
      </w:r>
      <w:r>
        <w:rPr>
          <w:bCs/>
          <w:b/>
        </w:rPr>
        <w:t xml:space="preserve">28 June 2025</w:t>
      </w:r>
      <w:r>
        <w:t xml:space="preserve">. The supplier is responsible for all transportation, insurance, and cold-chain integrity up to the point of delivery at the Frankfurt facility. Any temperature excursion in pharmaceutical products during transit within the Germany Frankfurt metropolitan area shall be documented and reported to the Pharmacist within 4 hours of delivery. The Pharmacist reserves the right to reject any lot that does not meet the specifications outlined in the German Pharmacopoeia (Deutsches Arzneibuch – AB).</w:t>
      </w:r>
    </w:p>
    <w:p>
      <w:pPr>
        <w:pStyle w:val="BodyText"/>
      </w:pPr>
      <w:r>
        <w:t xml:space="preserve">5. Terms &amp;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Federal Republic of Germany. The exclusive jurisdiction for any disputes arising from this Purchase Order shall be the competent court in Frankfurt am Main, Hesse, Germany.</w:t>
      </w:r>
    </w:p>
    <w:p>
      <w:pPr>
        <w:numPr>
          <w:ilvl w:val="0"/>
          <w:numId w:val="1001"/>
        </w:numPr>
        <w:pStyle w:val="Compact"/>
      </w:pPr>
      <w:r>
        <w:rPr>
          <w:bCs/>
          <w:b/>
        </w:rPr>
        <w:t xml:space="preserve">Payment Terms:</w:t>
      </w:r>
      <w:r>
        <w:t xml:space="preserve"> </w:t>
      </w:r>
      <w:r>
        <w:t xml:space="preserve">Net 30 days from the date of invoice. Payment shall be made via SEPA bank transfer to the supplier's designated account. Late payments shall accrue interest at the statutory rate under §288 of the German Civil Code (BGB).</w:t>
      </w:r>
    </w:p>
    <w:p>
      <w:pPr>
        <w:numPr>
          <w:ilvl w:val="0"/>
          <w:numId w:val="1001"/>
        </w:numPr>
        <w:pStyle w:val="Compact"/>
      </w:pPr>
      <w:r>
        <w:rPr>
          <w:bCs/>
          <w:b/>
        </w:rPr>
        <w:t xml:space="preserve">Quality Assurance:</w:t>
      </w:r>
      <w:r>
        <w:t xml:space="preserve"> </w:t>
      </w:r>
      <w:r>
        <w:t xml:space="preserve">All pharmaceutical products must comply with the German Medicines Act (Arzneimittelgesetz – AMG) and the European Pharmacopoeia. The Pharmacist is entitled to request Certificates of Analysis (CoA) for every batch delivered.</w:t>
      </w:r>
    </w:p>
    <w:p>
      <w:pPr>
        <w:numPr>
          <w:ilvl w:val="0"/>
          <w:numId w:val="1001"/>
        </w:numPr>
        <w:pStyle w:val="Compact"/>
      </w:pPr>
      <w:r>
        <w:rPr>
          <w:bCs/>
          <w:b/>
        </w:rPr>
        <w:t xml:space="preserve">Regulatory Compliance:</w:t>
      </w:r>
      <w:r>
        <w:t xml:space="preserve"> </w:t>
      </w:r>
      <w:r>
        <w:t xml:space="preserve">The supplier warrants that all items are legally distributable within Germany Frankfurt and the broader Hesse region. Prescription-only medicines (Rezeptpflichtige Arzneimittel) shall be shipped only against valid electronic prescriptions (E-Rezept) as mandated by the German Federal Joint Committee (G-BA).</w:t>
      </w:r>
    </w:p>
    <w:p>
      <w:pPr>
        <w:numPr>
          <w:ilvl w:val="0"/>
          <w:numId w:val="1001"/>
        </w:numPr>
        <w:pStyle w:val="Compact"/>
      </w:pPr>
      <w:r>
        <w:rPr>
          <w:bCs/>
          <w:b/>
        </w:rPr>
        <w:t xml:space="preserve">Warranty:</w:t>
      </w:r>
      <w:r>
        <w:t xml:space="preserve"> </w:t>
      </w:r>
      <w:r>
        <w:t xml:space="preserve">All equipment and software items carry a minimum 24-month manufacturer warranty. Pharmaceutical products must have a remaining shelf life of no less than 12 months at the time of delivery to the Pharmacist in Frankfurt.</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pandemics, or government-mandated closures affecting the Germany Frankfurt region.</w:t>
      </w:r>
    </w:p>
    <w:p>
      <w:pPr>
        <w:numPr>
          <w:ilvl w:val="0"/>
          <w:numId w:val="1001"/>
        </w:numPr>
        <w:pStyle w:val="Compact"/>
      </w:pPr>
      <w:r>
        <w:rPr>
          <w:bCs/>
          <w:b/>
        </w:rPr>
        <w:t xml:space="preserve">Confidentiality:</w:t>
      </w:r>
      <w:r>
        <w:t xml:space="preserve"> </w:t>
      </w:r>
      <w:r>
        <w:t xml:space="preserve">Both the Pharmacist and the supplier agree to maintain strict confidentiality regarding patient data, prescription records, and commercial terms in accordance with the German Federal Data Protection Act (BDSG) and the EU General Data Protection Regulation (GDPR).</w:t>
      </w:r>
    </w:p>
    <w:p>
      <w:pPr>
        <w:numPr>
          <w:ilvl w:val="0"/>
          <w:numId w:val="1001"/>
        </w:numPr>
        <w:pStyle w:val="Compact"/>
      </w:pPr>
      <w:r>
        <w:rPr>
          <w:bCs/>
          <w:b/>
        </w:rPr>
        <w:t xml:space="preserve">Amendments:</w:t>
      </w:r>
      <w:r>
        <w:t xml:space="preserve"> </w:t>
      </w:r>
      <w:r>
        <w:t xml:space="preserve">Any modification to this Purchase Order must be made in writing and signed by both the Pharmacist and an authorized representative of the supplier. Verbal agreements are not binding.</w:t>
      </w:r>
    </w:p>
    <w:p>
      <w:pPr>
        <w:pStyle w:val="FirstParagraph"/>
      </w:pPr>
      <w:r>
        <w:t xml:space="preserve">6. Authorization &amp; Signatures</w:t>
      </w:r>
    </w:p>
    <w:p>
      <w:pPr>
        <w:pStyle w:val="BodyText"/>
      </w:pPr>
      <w:r>
        <w:rPr>
          <w:bCs/>
          <w:b/>
        </w:rPr>
        <w:t xml:space="preserve">For the Purchasing Party (Pharmacist):</w:t>
      </w:r>
      <w:r>
        <w:br/>
      </w:r>
      <w:r>
        <w:br/>
      </w:r>
      <w:r>
        <w:t xml:space="preserve">________________________________</w:t>
      </w:r>
      <w:r>
        <w:br/>
      </w:r>
      <w:r>
        <w:t xml:space="preserve">Dr. Anna Schneider, Pharmacist</w:t>
      </w:r>
      <w:r>
        <w:br/>
      </w:r>
      <w:r>
        <w:t xml:space="preserve">Date: _______________</w:t>
      </w:r>
    </w:p>
    <w:p>
      <w:pPr>
        <w:pStyle w:val="BodyText"/>
      </w:pPr>
      <w:r>
        <w:rPr>
          <w:bCs/>
          <w:b/>
        </w:rPr>
        <w:t xml:space="preserve">For the Supplier:</w:t>
      </w:r>
      <w:r>
        <w:br/>
      </w:r>
      <w:r>
        <w:br/>
      </w:r>
      <w:r>
        <w:t xml:space="preserve">________________________________</w:t>
      </w:r>
      <w:r>
        <w:br/>
      </w:r>
      <w:r>
        <w:t xml:space="preserve">Thomas Berger, Sales Director</w:t>
      </w:r>
      <w:r>
        <w:br/>
      </w:r>
      <w:r>
        <w:t xml:space="preserve">PharmaLogistik Rhein-Main GmbH</w:t>
      </w:r>
      <w:r>
        <w:br/>
      </w:r>
      <w:r>
        <w:t xml:space="preserve">Date: _______________</w:t>
      </w:r>
    </w:p>
    <w:p>
      <w:pPr>
        <w:pStyle w:val="BodyText"/>
      </w:pPr>
      <w:r>
        <w:t xml:space="preserve">This Purchase Order (PO No. FRK-2025-04871) is issued for the operation of a licensed Pharmacist in Germany Frankfurt. It constitutes a binding commercial document under German law. All references to "Pharmacist" denote the licensed holder of a pharmacy practice in Frankfurt am Main, Hesse, Germany. This document is valid only when signed by both parties. © 2025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Pharmacist Supply - Germany Frankfurt</dc:title>
  <dc:creator/>
  <dc:language>en</dc:language>
  <cp:keywords/>
  <dcterms:created xsi:type="dcterms:W3CDTF">2026-10-10T05:48:48Z</dcterms:created>
  <dcterms:modified xsi:type="dcterms:W3CDTF">2026-10-10T05:48:48Z</dcterms:modified>
</cp:coreProperties>
</file>

<file path=docProps/custom.xml><?xml version="1.0" encoding="utf-8"?>
<Properties xmlns="http://schemas.openxmlformats.org/officeDocument/2006/custom-properties" xmlns:vt="http://schemas.openxmlformats.org/officeDocument/2006/docPropsVTypes"/>
</file>