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Pharmacist</w:t>
      </w:r>
      <w:r>
        <w:t xml:space="preserve"> </w:t>
      </w:r>
      <w:r>
        <w:t xml:space="preserve">Services</w:t>
      </w:r>
      <w:r>
        <w:t xml:space="preserve"> </w:t>
      </w:r>
      <w:r>
        <w:t xml:space="preserve">-</w:t>
      </w:r>
      <w:r>
        <w:t xml:space="preserve"> </w:t>
      </w:r>
      <w:r>
        <w:t xml:space="preserve">Malaysia</w:t>
      </w:r>
      <w:r>
        <w:t xml:space="preserve"> </w:t>
      </w:r>
      <w:r>
        <w:t xml:space="preserve">Kuala</w:t>
      </w:r>
      <w:r>
        <w:t xml:space="preserve"> </w:t>
      </w:r>
      <w:r>
        <w:t xml:space="preserve">Lumpur</w:t>
      </w:r>
    </w:p>
    <w:bookmarkStart w:id="20" w:name="purchase-order"/>
    <w:p>
      <w:pPr>
        <w:pStyle w:val="Heading1"/>
      </w:pPr>
      <w:r>
        <w:t xml:space="preserve">PURCHASE ORDER</w:t>
      </w:r>
    </w:p>
    <w:p>
      <w:pPr>
        <w:pStyle w:val="FirstParagraph"/>
      </w:pPr>
      <w:r>
        <w:t xml:space="preserve">Professional Services Procurement – Pharmacist Engagement</w:t>
      </w:r>
    </w:p>
    <w:p>
      <w:pPr>
        <w:pStyle w:val="BodyText"/>
      </w:pPr>
      <w:r>
        <w:t xml:space="preserve">Pharmaceutical Services Division | Malaysia Kuala Lumpur</w:t>
      </w:r>
    </w:p>
    <w:p>
      <w:pPr>
        <w:pStyle w:val="BodyText"/>
      </w:pPr>
      <w:r>
        <w:t xml:space="preserve">PO No: KL-PH-2025-04782</w:t>
      </w:r>
    </w:p>
    <w:bookmarkEnd w:id="20"/>
    <w:p>
      <w:pPr>
        <w:pStyle w:val="BodyText"/>
      </w:pPr>
      <w:r>
        <w:rPr>
          <w:bCs/>
          <w:b/>
        </w:rPr>
        <w:t xml:space="preserve">Date of Issue:</w:t>
      </w:r>
      <w:r>
        <w:t xml:space="preserve"> </w:t>
      </w:r>
      <w:r>
        <w:t xml:space="preserve">15 June 2025</w:t>
      </w:r>
      <w:r>
        <w:br/>
      </w:r>
      <w:r>
        <w:rPr>
          <w:bCs/>
          <w:b/>
        </w:rPr>
        <w:t xml:space="preserve">Valid Until:</w:t>
      </w:r>
      <w:r>
        <w:t xml:space="preserve"> </w:t>
      </w:r>
      <w:r>
        <w:t xml:space="preserve">15 July 2025</w:t>
      </w:r>
      <w:r>
        <w:br/>
      </w:r>
      <w:r>
        <w:rPr>
          <w:bCs/>
          <w:b/>
        </w:rPr>
        <w:t xml:space="preserve">Delivery Location:</w:t>
      </w:r>
      <w:r>
        <w:t xml:space="preserve"> </w:t>
      </w:r>
      <w:r>
        <w:t xml:space="preserve">Malaysia Kuala Lumpur</w:t>
      </w:r>
    </w:p>
    <w:p>
      <w:pPr>
        <w:pStyle w:val="BodyText"/>
      </w:pPr>
      <w:r>
        <w:rPr>
          <w:bCs/>
          <w:b/>
        </w:rPr>
        <w:t xml:space="preserve">Payment Terms:</w:t>
      </w:r>
      <w:r>
        <w:t xml:space="preserve"> </w:t>
      </w:r>
      <w:r>
        <w:t xml:space="preserve">Net 30 Days</w:t>
      </w:r>
      <w:r>
        <w:br/>
      </w:r>
      <w:r>
        <w:rPr>
          <w:bCs/>
          <w:b/>
        </w:rPr>
        <w:t xml:space="preserve">Currency:</w:t>
      </w:r>
      <w:r>
        <w:t xml:space="preserve"> </w:t>
      </w:r>
      <w:r>
        <w:t xml:space="preserve">Malaysian Ringgit (MYR)</w:t>
      </w:r>
      <w:r>
        <w:br/>
      </w:r>
      <w:r>
        <w:rPr>
          <w:bCs/>
          <w:b/>
        </w:rPr>
        <w:t xml:space="preserve">Reference:</w:t>
      </w:r>
      <w:r>
        <w:t xml:space="preserve"> </w:t>
      </w:r>
      <w:r>
        <w:t xml:space="preserve">HR-REC-2025-KL-091</w:t>
      </w:r>
    </w:p>
    <w:p>
      <w:pPr>
        <w:pStyle w:val="BodyText"/>
      </w:pPr>
      <w:r>
        <w:t xml:space="preserve">1. PARTIES INVOLVED</w:t>
      </w:r>
    </w:p>
    <w:tbl>
      <w:tblPr>
        <w:tblStyle w:val="Table"/>
        <w:tblW w:type="pct" w:w="5000"/>
        <w:tblLook w:firstRow="1" w:lastRow="0" w:firstColumn="0" w:lastColumn="0" w:noHBand="0" w:noVBand="0" w:val="0020"/>
      </w:tblPr>
      <w:tblGrid>
        <w:gridCol w:w="3960"/>
        <w:gridCol w:w="3960"/>
      </w:tblGrid>
      <w:tr>
        <w:trPr>
          <w:tblHeader w:val="true"/>
        </w:trPr>
        <w:tc>
          <w:tcPr/>
          <w:p>
            <w:pPr>
              <w:pStyle w:val="Compact"/>
              <w:jc w:val="left"/>
            </w:pPr>
            <w:r>
              <w:t xml:space="preserve">Buyer (Procuring Entity)</w:t>
            </w:r>
          </w:p>
        </w:tc>
        <w:tc>
          <w:tcPr/>
          <w:p>
            <w:pPr>
              <w:pStyle w:val="Compact"/>
              <w:jc w:val="left"/>
            </w:pPr>
            <w:r>
              <w:t xml:space="preserve">Supplier (Service Provider)</w:t>
            </w:r>
          </w:p>
        </w:tc>
      </w:tr>
      <w:tr>
        <w:tc>
          <w:tcPr/>
          <w:p>
            <w:pPr>
              <w:pStyle w:val="Compact"/>
              <w:jc w:val="left"/>
            </w:pPr>
            <w:r>
              <w:rPr>
                <w:bCs/>
                <w:b/>
              </w:rPr>
              <w:t xml:space="preserve">MediCare Health Group Sdn. Bhd.</w:t>
            </w:r>
            <w:r>
              <w:br/>
            </w:r>
            <w:r>
              <w:t xml:space="preserve">Level 12, Menara Commerce, Jalan Sultan Ismail,</w:t>
            </w:r>
            <w:r>
              <w:br/>
            </w:r>
            <w:r>
              <w:t xml:space="preserve">50250 Malaysia Kuala Lumpur, Wilayah Persekutuan</w:t>
            </w:r>
            <w:r>
              <w:br/>
            </w:r>
            <w:r>
              <w:t xml:space="preserve">Registration No: 201901045678 (K)</w:t>
            </w:r>
            <w:r>
              <w:br/>
            </w:r>
            <w:r>
              <w:t xml:space="preserve">SST Registration: 001823456789</w:t>
            </w:r>
            <w:r>
              <w:br/>
            </w:r>
            <w:r>
              <w:t xml:space="preserve">Contact: procurement@medicarehealthgroup.com.my</w:t>
            </w:r>
            <w:r>
              <w:br/>
            </w:r>
            <w:r>
              <w:t xml:space="preserve">Tel: +603-2145 6789</w:t>
            </w:r>
          </w:p>
        </w:tc>
        <w:tc>
          <w:tcPr/>
          <w:p>
            <w:pPr>
              <w:pStyle w:val="Compact"/>
              <w:jc w:val="left"/>
            </w:pPr>
            <w:r>
              <w:rPr>
                <w:bCs/>
                <w:b/>
              </w:rPr>
              <w:t xml:space="preserve">Dr. Aisyah binti Rahman, Registered Pharmacist</w:t>
            </w:r>
            <w:r>
              <w:br/>
            </w:r>
            <w:r>
              <w:t xml:space="preserve">Pharmacy Practice No: PP-2021-08834</w:t>
            </w:r>
            <w:r>
              <w:br/>
            </w:r>
            <w:r>
              <w:t xml:space="preserve">Pharmacy Council of Malaysia (PPM) License: Valid</w:t>
            </w:r>
            <w:r>
              <w:br/>
            </w:r>
            <w:r>
              <w:t xml:space="preserve">Address: 45, Jalan Ampang, 50450 Malaysia Kuala Lumpur</w:t>
            </w:r>
            <w:r>
              <w:br/>
            </w:r>
            <w:r>
              <w:t xml:space="preserve">Contact: aisyah.rahman@pharmaservices.my</w:t>
            </w:r>
            <w:r>
              <w:br/>
            </w:r>
            <w:r>
              <w:t xml:space="preserve">Tel: +6012-345 6789</w:t>
            </w:r>
          </w:p>
        </w:tc>
      </w:tr>
    </w:tbl>
    <w:p>
      <w:pPr>
        <w:pStyle w:val="BodyText"/>
      </w:pPr>
      <w:r>
        <w:t xml:space="preserve">2. DESCRIPTION OF SERVICES – PHARMACIST ENGAGEMENT</w:t>
      </w:r>
    </w:p>
    <w:p>
      <w:pPr>
        <w:pStyle w:val="BodyText"/>
      </w:pPr>
      <w:r>
        <w:t xml:space="preserve">This Purchase Order is issued by MediCare Health Group Sdn. Bhd. to formally engage a qualified and licensed Pharmacist to provide comprehensive pharmaceutical services at our primary healthcare facility located in Malaysia Kuala Lumpur. The Pharmacist shall be responsible for the safe dispensing of medications, patient counselling, medication therapy management, inventory oversight, and compliance with all regulations set forth by the Pharmacy and Poisons Act 1911 and the guidelines of the Pharmacy Council of Malaysia.</w:t>
      </w:r>
    </w:p>
    <w:p>
      <w:pPr>
        <w:pStyle w:val="BodyText"/>
      </w:pPr>
      <w:r>
        <w:t xml:space="preserve">The Pharmacist engaged under this Purchase Order must hold a valid registration with the Pharmacy Council of Malaysia and possess a minimum of five (5) years of post-qualification experience in community or hospital pharmacy practice within Malaysia Kuala Lumpur or other recognised jurisdictions. The Pharmacist shall report directly to the Chief Medical Officer and shall adhere to all standard operating procedures established by the facility.</w:t>
      </w:r>
    </w:p>
    <w:p>
      <w:pPr>
        <w:pStyle w:val="BodyText"/>
      </w:pPr>
      <w:r>
        <w:t xml:space="preserve">3. ITEMISED SERVICES AND CHARGES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w:t>
            </w:r>
          </w:p>
        </w:tc>
        <w:tc>
          <w:tcPr/>
          <w:p>
            <w:pPr>
              <w:pStyle w:val="Compact"/>
              <w:jc w:val="left"/>
            </w:pPr>
            <w:r>
              <w:t xml:space="preserve">Description of Service</w:t>
            </w:r>
          </w:p>
        </w:tc>
        <w:tc>
          <w:tcPr/>
          <w:p>
            <w:pPr>
              <w:pStyle w:val="Compact"/>
              <w:jc w:val="left"/>
            </w:pPr>
            <w:r>
              <w:t xml:space="preserve">Qty</w:t>
            </w:r>
          </w:p>
        </w:tc>
        <w:tc>
          <w:tcPr/>
          <w:p>
            <w:pPr>
              <w:pStyle w:val="Compact"/>
              <w:jc w:val="left"/>
            </w:pPr>
            <w:r>
              <w:t xml:space="preserve">Unit Rate (MYR)</w:t>
            </w:r>
          </w:p>
        </w:tc>
        <w:tc>
          <w:tcPr/>
          <w:p>
            <w:pPr>
              <w:pStyle w:val="Compact"/>
              <w:jc w:val="left"/>
            </w:pPr>
            <w:r>
              <w:t xml:space="preserve">Amount (MYR)</w:t>
            </w:r>
          </w:p>
        </w:tc>
        <w:tc>
          <w:tcPr/>
          <w:p>
            <w:pPr>
              <w:pStyle w:val="Compact"/>
              <w:jc w:val="left"/>
            </w:pPr>
            <w:r>
              <w:t xml:space="preserve">Duration</w:t>
            </w:r>
          </w:p>
        </w:tc>
      </w:tr>
      <w:tr>
        <w:tc>
          <w:tcPr/>
          <w:p>
            <w:pPr>
              <w:pStyle w:val="Compact"/>
              <w:jc w:val="left"/>
            </w:pPr>
            <w:r>
              <w:t xml:space="preserve">01</w:t>
            </w:r>
          </w:p>
        </w:tc>
        <w:tc>
          <w:tcPr/>
          <w:p>
            <w:pPr>
              <w:pStyle w:val="Compact"/>
              <w:jc w:val="left"/>
            </w:pPr>
            <w:r>
              <w:t xml:space="preserve">Full-time Pharmacist services – dispensing, prescription verification, and patient medication counselling at the Malaysia Kuala Lumpur outpatient clinic</w:t>
            </w:r>
          </w:p>
        </w:tc>
        <w:tc>
          <w:tcPr/>
          <w:p>
            <w:pPr>
              <w:pStyle w:val="Compact"/>
              <w:jc w:val="left"/>
            </w:pPr>
            <w:r>
              <w:t xml:space="preserve">1</w:t>
            </w:r>
          </w:p>
        </w:tc>
        <w:tc>
          <w:tcPr/>
          <w:p>
            <w:pPr>
              <w:pStyle w:val="Compact"/>
              <w:jc w:val="left"/>
            </w:pPr>
            <w:r>
              <w:t xml:space="preserve">8,500.00</w:t>
            </w:r>
          </w:p>
        </w:tc>
        <w:tc>
          <w:tcPr/>
          <w:p>
            <w:pPr>
              <w:pStyle w:val="Compact"/>
              <w:jc w:val="left"/>
            </w:pPr>
            <w:r>
              <w:t xml:space="preserve">8,500.00</w:t>
            </w:r>
          </w:p>
        </w:tc>
        <w:tc>
          <w:tcPr/>
          <w:p>
            <w:pPr>
              <w:pStyle w:val="Compact"/>
              <w:jc w:val="left"/>
            </w:pPr>
            <w:r>
              <w:t xml:space="preserve">Monthly</w:t>
            </w:r>
          </w:p>
        </w:tc>
      </w:tr>
      <w:tr>
        <w:tc>
          <w:tcPr/>
          <w:p>
            <w:pPr>
              <w:pStyle w:val="Compact"/>
              <w:jc w:val="left"/>
            </w:pPr>
            <w:r>
              <w:t xml:space="preserve">02</w:t>
            </w:r>
          </w:p>
        </w:tc>
        <w:tc>
          <w:tcPr/>
          <w:p>
            <w:pPr>
              <w:pStyle w:val="Compact"/>
              <w:jc w:val="left"/>
            </w:pPr>
            <w:r>
              <w:t xml:space="preserve">Pharmacist-led medication therapy management (MTM) programme for chronic disease patients (diabetes, hypertension, asthma) in Malaysia Kuala Lumpur</w:t>
            </w:r>
          </w:p>
        </w:tc>
        <w:tc>
          <w:tcPr/>
          <w:p>
            <w:pPr>
              <w:pStyle w:val="Compact"/>
              <w:jc w:val="left"/>
            </w:pPr>
            <w:r>
              <w:t xml:space="preserve">1</w:t>
            </w:r>
          </w:p>
        </w:tc>
        <w:tc>
          <w:tcPr/>
          <w:p>
            <w:pPr>
              <w:pStyle w:val="Compact"/>
              <w:jc w:val="left"/>
            </w:pPr>
            <w:r>
              <w:t xml:space="preserve">3,200.00</w:t>
            </w:r>
          </w:p>
        </w:tc>
        <w:tc>
          <w:tcPr/>
          <w:p>
            <w:pPr>
              <w:pStyle w:val="Compact"/>
              <w:jc w:val="left"/>
            </w:pPr>
            <w:r>
              <w:t xml:space="preserve">3,200.00</w:t>
            </w:r>
          </w:p>
        </w:tc>
        <w:tc>
          <w:tcPr/>
          <w:p>
            <w:pPr>
              <w:pStyle w:val="Compact"/>
              <w:jc w:val="left"/>
            </w:pPr>
            <w:r>
              <w:t xml:space="preserve">Monthly</w:t>
            </w:r>
          </w:p>
        </w:tc>
      </w:tr>
      <w:tr>
        <w:tc>
          <w:tcPr/>
          <w:p>
            <w:pPr>
              <w:pStyle w:val="Compact"/>
              <w:jc w:val="left"/>
            </w:pPr>
            <w:r>
              <w:t xml:space="preserve">03</w:t>
            </w:r>
          </w:p>
        </w:tc>
        <w:tc>
          <w:tcPr/>
          <w:p>
            <w:pPr>
              <w:pStyle w:val="Compact"/>
              <w:jc w:val="left"/>
            </w:pPr>
            <w:r>
              <w:t xml:space="preserve">Pharmacist supervision of pharmacy inventory, stock rotation, expiry management, and cold-chain compliance for all pharmaceutical products</w:t>
            </w:r>
          </w:p>
        </w:tc>
        <w:tc>
          <w:tcPr/>
          <w:p>
            <w:pPr>
              <w:pStyle w:val="Compact"/>
              <w:jc w:val="left"/>
            </w:pPr>
            <w:r>
              <w:t xml:space="preserve">1</w:t>
            </w:r>
          </w:p>
        </w:tc>
        <w:tc>
          <w:tcPr/>
          <w:p>
            <w:pPr>
              <w:pStyle w:val="Compact"/>
              <w:jc w:val="left"/>
            </w:pPr>
            <w:r>
              <w:t xml:space="preserve">1,800.00</w:t>
            </w:r>
          </w:p>
        </w:tc>
        <w:tc>
          <w:tcPr/>
          <w:p>
            <w:pPr>
              <w:pStyle w:val="Compact"/>
              <w:jc w:val="left"/>
            </w:pPr>
            <w:r>
              <w:t xml:space="preserve">1,800.00</w:t>
            </w:r>
          </w:p>
        </w:tc>
        <w:tc>
          <w:tcPr/>
          <w:p>
            <w:pPr>
              <w:pStyle w:val="Compact"/>
              <w:jc w:val="left"/>
            </w:pPr>
            <w:r>
              <w:t xml:space="preserve">Monthly</w:t>
            </w:r>
          </w:p>
        </w:tc>
      </w:tr>
      <w:tr>
        <w:tc>
          <w:tcPr/>
          <w:p>
            <w:pPr>
              <w:pStyle w:val="Compact"/>
              <w:jc w:val="left"/>
            </w:pPr>
            <w:r>
              <w:t xml:space="preserve">04</w:t>
            </w:r>
          </w:p>
        </w:tc>
        <w:tc>
          <w:tcPr/>
          <w:p>
            <w:pPr>
              <w:pStyle w:val="Compact"/>
              <w:jc w:val="left"/>
            </w:pPr>
            <w:r>
              <w:t xml:space="preserve">Pharmacist participation in multidisciplinary team meetings, clinical audits, and quality assurance reviews as mandated by the Malaysia Kuala Lumpur healthcare regulatory framework</w:t>
            </w:r>
          </w:p>
        </w:tc>
        <w:tc>
          <w:tcPr/>
          <w:p>
            <w:pPr>
              <w:pStyle w:val="Compact"/>
              <w:jc w:val="left"/>
            </w:pPr>
            <w:r>
              <w:t xml:space="preserve">1</w:t>
            </w:r>
          </w:p>
        </w:tc>
        <w:tc>
          <w:tcPr/>
          <w:p>
            <w:pPr>
              <w:pStyle w:val="Compact"/>
              <w:jc w:val="left"/>
            </w:pPr>
            <w:r>
              <w:t xml:space="preserve">1,200.00</w:t>
            </w:r>
          </w:p>
        </w:tc>
        <w:tc>
          <w:tcPr/>
          <w:p>
            <w:pPr>
              <w:pStyle w:val="Compact"/>
              <w:jc w:val="left"/>
            </w:pPr>
            <w:r>
              <w:t xml:space="preserve">1,200.00</w:t>
            </w:r>
          </w:p>
        </w:tc>
        <w:tc>
          <w:tcPr/>
          <w:p>
            <w:pPr>
              <w:pStyle w:val="Compact"/>
              <w:jc w:val="left"/>
            </w:pPr>
            <w:r>
              <w:t xml:space="preserve">Monthly</w:t>
            </w:r>
          </w:p>
        </w:tc>
      </w:tr>
      <w:tr>
        <w:tc>
          <w:tcPr/>
          <w:p>
            <w:pPr>
              <w:pStyle w:val="Compact"/>
              <w:jc w:val="left"/>
            </w:pPr>
            <w:r>
              <w:t xml:space="preserve">05</w:t>
            </w:r>
          </w:p>
        </w:tc>
        <w:tc>
          <w:tcPr/>
          <w:p>
            <w:pPr>
              <w:pStyle w:val="Compact"/>
              <w:jc w:val="left"/>
            </w:pPr>
            <w:r>
              <w:t xml:space="preserve">Pharmacist provision of emergency on-call coverage (rotational basis, 4 shifts per month) for the Malaysia Kuala Lumpur facility</w:t>
            </w:r>
          </w:p>
        </w:tc>
        <w:tc>
          <w:tcPr/>
          <w:p>
            <w:pPr>
              <w:pStyle w:val="Compact"/>
              <w:jc w:val="left"/>
            </w:pPr>
            <w:r>
              <w:t xml:space="preserve">4</w:t>
            </w:r>
          </w:p>
        </w:tc>
        <w:tc>
          <w:tcPr/>
          <w:p>
            <w:pPr>
              <w:pStyle w:val="Compact"/>
              <w:jc w:val="left"/>
            </w:pPr>
            <w:r>
              <w:t xml:space="preserve">450.00</w:t>
            </w:r>
          </w:p>
        </w:tc>
        <w:tc>
          <w:tcPr/>
          <w:p>
            <w:pPr>
              <w:pStyle w:val="Compact"/>
              <w:jc w:val="left"/>
            </w:pPr>
            <w:r>
              <w:t xml:space="preserve">1,800.00</w:t>
            </w:r>
          </w:p>
        </w:tc>
        <w:tc>
          <w:tcPr/>
          <w:p>
            <w:pPr>
              <w:pStyle w:val="Compact"/>
              <w:jc w:val="left"/>
            </w:pPr>
            <w:r>
              <w:t xml:space="preserve">Per shift</w:t>
            </w:r>
          </w:p>
        </w:tc>
      </w:tr>
      <w:tr>
        <w:tc>
          <w:tcPr/>
          <w:p>
            <w:pPr>
              <w:pStyle w:val="Compact"/>
              <w:jc w:val="left"/>
            </w:pPr>
            <w:r>
              <w:t xml:space="preserve">06</w:t>
            </w:r>
          </w:p>
        </w:tc>
        <w:tc>
          <w:tcPr/>
          <w:p>
            <w:pPr>
              <w:pStyle w:val="Compact"/>
              <w:jc w:val="left"/>
            </w:pPr>
            <w:r>
              <w:t xml:space="preserve">Pharmacist training and mentoring of two (2) junior pharmacy technicians assigned to the Malaysia Kuala Lumpur branch</w:t>
            </w:r>
          </w:p>
        </w:tc>
        <w:tc>
          <w:tcPr/>
          <w:p>
            <w:pPr>
              <w:pStyle w:val="Compact"/>
              <w:jc w:val="left"/>
            </w:pPr>
            <w:r>
              <w:t xml:space="preserve">1</w:t>
            </w:r>
          </w:p>
        </w:tc>
        <w:tc>
          <w:tcPr/>
          <w:p>
            <w:pPr>
              <w:pStyle w:val="Compact"/>
              <w:jc w:val="left"/>
            </w:pPr>
            <w:r>
              <w:t xml:space="preserve">950.00</w:t>
            </w:r>
          </w:p>
        </w:tc>
        <w:tc>
          <w:tcPr/>
          <w:p>
            <w:pPr>
              <w:pStyle w:val="Compact"/>
              <w:jc w:val="left"/>
            </w:pPr>
            <w:r>
              <w:t xml:space="preserve">950.00</w:t>
            </w:r>
          </w:p>
        </w:tc>
        <w:tc>
          <w:tcPr/>
          <w:p>
            <w:pPr>
              <w:pStyle w:val="Compact"/>
              <w:jc w:val="left"/>
            </w:pPr>
            <w:r>
              <w:t xml:space="preserve">Monthly</w:t>
            </w:r>
          </w:p>
        </w:tc>
      </w:tr>
      <w:tr>
        <w:tc>
          <w:tcPr>
            <w:gridSpan w:val="4"/>
          </w:tcPr>
          <w:p>
            <w:pPr>
              <w:pStyle w:val="Compact"/>
              <w:jc w:val="right"/>
            </w:pPr>
            <w:r>
              <w:t xml:space="preserve">Subtotal</w:t>
            </w:r>
          </w:p>
        </w:tc>
        <w:tc>
          <w:tcPr/>
          <w:p>
            <w:pPr>
              <w:pStyle w:val="Compact"/>
              <w:jc w:val="left"/>
            </w:pPr>
            <w:r>
              <w:t xml:space="preserve">17,450.00</w:t>
            </w:r>
          </w:p>
        </w:tc>
        <w:tc>
          <w:tcPr/>
          <w:p>
            <w:pPr>
              <w:pStyle w:val="Compact"/>
            </w:pPr>
          </w:p>
        </w:tc>
      </w:tr>
      <w:tr>
        <w:tc>
          <w:tcPr>
            <w:gridSpan w:val="4"/>
          </w:tcPr>
          <w:p>
            <w:pPr>
              <w:pStyle w:val="Compact"/>
              <w:jc w:val="right"/>
            </w:pPr>
            <w:r>
              <w:t xml:space="preserve">SST (8%)</w:t>
            </w:r>
          </w:p>
        </w:tc>
        <w:tc>
          <w:tcPr/>
          <w:p>
            <w:pPr>
              <w:pStyle w:val="Compact"/>
              <w:jc w:val="left"/>
            </w:pPr>
            <w:r>
              <w:t xml:space="preserve">1,396.00</w:t>
            </w:r>
          </w:p>
        </w:tc>
        <w:tc>
          <w:tcPr/>
          <w:p>
            <w:pPr>
              <w:pStyle w:val="Compact"/>
            </w:pPr>
          </w:p>
        </w:tc>
      </w:tr>
      <w:tr>
        <w:tc>
          <w:tcPr>
            <w:gridSpan w:val="4"/>
          </w:tcPr>
          <w:p>
            <w:pPr>
              <w:pStyle w:val="Compact"/>
              <w:jc w:val="right"/>
            </w:pPr>
            <w:r>
              <w:t xml:space="preserve">TOTAL AMOUNT DUE (MYR)</w:t>
            </w:r>
          </w:p>
        </w:tc>
        <w:tc>
          <w:tcPr/>
          <w:p>
            <w:pPr>
              <w:pStyle w:val="Compact"/>
              <w:jc w:val="left"/>
            </w:pPr>
            <w:r>
              <w:t xml:space="preserve">18,846.00</w:t>
            </w:r>
          </w:p>
        </w:tc>
        <w:tc>
          <w:tcPr/>
          <w:p>
            <w:pPr>
              <w:pStyle w:val="Compact"/>
            </w:pPr>
          </w:p>
        </w:tc>
      </w:tr>
    </w:tbl>
    <w:p>
      <w:pPr>
        <w:pStyle w:val="BodyText"/>
      </w:pPr>
      <w:r>
        <w:t xml:space="preserve">4. TERMS AND CONDITIONS</w:t>
      </w:r>
    </w:p>
    <w:p>
      <w:pPr>
        <w:numPr>
          <w:ilvl w:val="0"/>
          <w:numId w:val="1001"/>
        </w:numPr>
        <w:pStyle w:val="Compact"/>
      </w:pPr>
      <w:r>
        <w:t xml:space="preserve">This Purchase Order constitutes a binding agreement between the Buyer and the Pharmacist service provider for the duration of twelve (12) months commencing 1 July 2025, subject to mutual renewal.</w:t>
      </w:r>
    </w:p>
    <w:p>
      <w:pPr>
        <w:numPr>
          <w:ilvl w:val="0"/>
          <w:numId w:val="1001"/>
        </w:numPr>
        <w:pStyle w:val="Compact"/>
      </w:pPr>
      <w:r>
        <w:t xml:space="preserve">The Pharmacist shall maintain a valid registration and good standing with the Pharmacy Council of Malaysia throughout the engagement period. Any lapse in licensure shall result in immediate suspension of services under this Purchase Order.</w:t>
      </w:r>
    </w:p>
    <w:p>
      <w:pPr>
        <w:numPr>
          <w:ilvl w:val="0"/>
          <w:numId w:val="1001"/>
        </w:numPr>
        <w:pStyle w:val="Compact"/>
      </w:pPr>
      <w:r>
        <w:t xml:space="preserve">All services rendered by the Pharmacist shall comply with the standards set by the Ministry of Health Malaysia, the Pharmacy and Poisons Act 1911, and all applicable regulations governing pharmaceutical practice in Malaysia Kuala Lumpur.</w:t>
      </w:r>
    </w:p>
    <w:p>
      <w:pPr>
        <w:numPr>
          <w:ilvl w:val="0"/>
          <w:numId w:val="1001"/>
        </w:numPr>
        <w:pStyle w:val="Compact"/>
      </w:pPr>
      <w:r>
        <w:t xml:space="preserve">Payment shall be made within thirty (30) calendar days from the date of invoice submission. Late payments shall attract a penalty of 2% per month as stipulated under Malaysian commercial law.</w:t>
      </w:r>
    </w:p>
    <w:p>
      <w:pPr>
        <w:numPr>
          <w:ilvl w:val="0"/>
          <w:numId w:val="1001"/>
        </w:numPr>
        <w:pStyle w:val="Compact"/>
      </w:pPr>
      <w:r>
        <w:t xml:space="preserve">The Pharmacist shall maintain professional indemnity insurance with a minimum coverage of MYR 1,000,000 per claim, valid for the entire term of this Purchase Order.</w:t>
      </w:r>
    </w:p>
    <w:p>
      <w:pPr>
        <w:numPr>
          <w:ilvl w:val="0"/>
          <w:numId w:val="1001"/>
        </w:numPr>
        <w:pStyle w:val="Compact"/>
      </w:pPr>
      <w:r>
        <w:t xml:space="preserve">Confidentiality: The Pharmacist shall treat all patient records, proprietary formulary data, and operational information of the Malaysia Kuala Lumpur facility as strictly confidential in accordance with the Personal Data Protection Act 2010 (PDPA) of Malaysia.</w:t>
      </w:r>
    </w:p>
    <w:p>
      <w:pPr>
        <w:numPr>
          <w:ilvl w:val="0"/>
          <w:numId w:val="1001"/>
        </w:numPr>
        <w:pStyle w:val="Compact"/>
      </w:pPr>
      <w:r>
        <w:t xml:space="preserve">Either party may terminate this Purchase Order with thirty (30) days written notice. In the event of termination, all outstanding invoices for services rendered up to the termination date shall be settled in full.</w:t>
      </w:r>
    </w:p>
    <w:p>
      <w:pPr>
        <w:numPr>
          <w:ilvl w:val="0"/>
          <w:numId w:val="1001"/>
        </w:numPr>
        <w:pStyle w:val="Compact"/>
      </w:pPr>
      <w:r>
        <w:t xml:space="preserve">All disputes arising from this Purchase Order shall be resolved through mediation in Malaysia Kuala Lumpur in accordance with the rules of the Asian International Arbitration Centre (AIAC) before any litigation is commenced.</w:t>
      </w:r>
    </w:p>
    <w:p>
      <w:pPr>
        <w:numPr>
          <w:ilvl w:val="0"/>
          <w:numId w:val="1001"/>
        </w:numPr>
        <w:pStyle w:val="Compact"/>
      </w:pPr>
      <w:r>
        <w:t xml:space="preserve">The Pharmacist shall be provided with access to the facility's electronic prescribing system, pharmacy management software, and all necessary resources to perform duties effectively at the Malaysia Kuala Lumpur premises.</w:t>
      </w:r>
    </w:p>
    <w:p>
      <w:pPr>
        <w:numPr>
          <w:ilvl w:val="0"/>
          <w:numId w:val="1001"/>
        </w:numPr>
        <w:pStyle w:val="Compact"/>
      </w:pPr>
      <w:r>
        <w:t xml:space="preserve">This Purchase Order is governed by and shall be construed in accordance with the laws of Malaysia. The courts of Malaysia Kuala Lumpur shall have exclusive jurisdiction over any matters arising hereunder.</w:t>
      </w:r>
    </w:p>
    <w:p>
      <w:pPr>
        <w:pStyle w:val="FirstParagraph"/>
      </w:pPr>
      <w:r>
        <w:t xml:space="preserve">5. DELIVERY AND PERFORMANCE SCHEDULE</w:t>
      </w:r>
    </w:p>
    <w:p>
      <w:pPr>
        <w:pStyle w:val="BodyText"/>
      </w:pPr>
      <w:r>
        <w:t xml:space="preserve">The Pharmacist shall commence duties on 1 July 2025 at the MediCare Health Group facility, Level 12, Menara Commerce, Jalan Sultan Ismail, 50250 Malaysia Kuala Lumpur. Standard working hours shall be Monday to Friday, 8:00 AM to 5:00 PM, with Saturday shifts on a rotational basis. The Pharmacist shall submit a monthly performance report to the Chief Medical Officer by the 5th of each subsequent month, detailing dispensing volumes, patient counselling sessions conducted, adverse drug reaction reports filed, and any compliance observations relevant to the Malaysia Kuala Lumpur operation.</w:t>
      </w:r>
    </w:p>
    <w:p>
      <w:pPr>
        <w:pStyle w:val="BodyText"/>
      </w:pPr>
      <w:r>
        <w:t xml:space="preserve">6. AUTHORITY AND ACCEPTANCE</w:t>
      </w:r>
    </w:p>
    <w:p>
      <w:pPr>
        <w:pStyle w:val="BodyText"/>
      </w:pPr>
      <w:r>
        <w:t xml:space="preserve">This Purchase Order is issued under the authority of the Procurement Committee of MediCare Health Group Sdn. Bhd. and has been reviewed and approved in accordance with the company's internal procurement policy for professional services in Malaysia Kuala Lumpur.</w:t>
      </w:r>
    </w:p>
    <w:p>
      <w:pPr>
        <w:pStyle w:val="BodyText"/>
      </w:pPr>
      <w:r>
        <w:rPr>
          <w:bCs/>
          <w:b/>
        </w:rPr>
        <w:t xml:space="preserve">For and on behalf of the Buyer:</w:t>
      </w:r>
    </w:p>
    <w:p>
      <w:pPr>
        <w:pStyle w:val="BodyText"/>
      </w:pPr>
      <w:r>
        <w:t xml:space="preserve">Name: Tan Wei Ming</w:t>
      </w:r>
      <w:r>
        <w:br/>
      </w:r>
      <w:r>
        <w:t xml:space="preserve">Designation: Head of Procurement</w:t>
      </w:r>
      <w:r>
        <w:br/>
      </w:r>
      <w:r>
        <w:t xml:space="preserve">MediCare Health Group Sdn. Bhd.</w:t>
      </w:r>
      <w:r>
        <w:br/>
      </w:r>
      <w:r>
        <w:t xml:space="preserve">Date: _______________</w:t>
      </w:r>
    </w:p>
    <w:p>
      <w:pPr>
        <w:pStyle w:val="BodyText"/>
      </w:pPr>
      <w:r>
        <w:rPr>
          <w:bCs/>
          <w:b/>
        </w:rPr>
        <w:t xml:space="preserve">For and on behalf of the Pharmacist:</w:t>
      </w:r>
    </w:p>
    <w:p>
      <w:pPr>
        <w:pStyle w:val="BodyText"/>
      </w:pPr>
      <w:r>
        <w:t xml:space="preserve">Name: Dr. Aisyah binti Rahman</w:t>
      </w:r>
      <w:r>
        <w:br/>
      </w:r>
      <w:r>
        <w:t xml:space="preserve">Designation: Registered Pharmacist</w:t>
      </w:r>
      <w:r>
        <w:br/>
      </w:r>
      <w:r>
        <w:t xml:space="preserve">PPM Reg. No: PP-2021-08834</w:t>
      </w:r>
      <w:r>
        <w:br/>
      </w:r>
      <w:r>
        <w:t xml:space="preserve">Date: _______________</w:t>
      </w:r>
    </w:p>
    <w:p>
      <w:pPr>
        <w:pStyle w:val="BodyText"/>
      </w:pPr>
      <w:r>
        <w:t xml:space="preserve">This Purchase Order (PO No: KL-PH-2025-04782) is the property of MediCare Health Group Sdn. Bhd. and is issued for the engagement of Pharmacist services in Malaysia Kuala Lumpur. Unauthorised reproduction or distribution is prohibited. All communications regarding this Purchase Order shall be directed to the Procurement Department, Malaysia Kuala Lumpur office.</w:t>
      </w:r>
    </w:p>
    <w:p>
      <w:pPr>
        <w:pStyle w:val="BodyText"/>
      </w:pPr>
      <w:r>
        <w:t xml:space="preserve">Document Version: 1.0 | Generated: 15 June 2025 | Classification: Confidential</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Pharmacist Services - Malaysia Kuala Lumpur</dc:title>
  <dc:creator/>
  <dc:language>en</dc:language>
  <cp:keywords/>
  <dcterms:created xsi:type="dcterms:W3CDTF">2026-10-10T01:22:34Z</dcterms:created>
  <dcterms:modified xsi:type="dcterms:W3CDTF">2026-10-10T01:22:34Z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