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new-zealand-wellington"/>
    <w:p>
      <w:pPr>
        <w:pStyle w:val="Heading1"/>
      </w:pPr>
      <w:r>
        <w:t xml:space="preserve">PURCHASE ORDER</w:t>
      </w:r>
      <w:r>
        <w:t xml:space="preserve"> </w:t>
      </w:r>
      <w:r>
        <w:t xml:space="preserve">New Zealand Wellington</w:t>
      </w:r>
    </w:p>
    <w:p>
      <w:pPr>
        <w:pStyle w:val="FirstParagraph"/>
      </w:pPr>
      <w:r>
        <w:rPr>
          <w:bCs/>
          <w:b/>
        </w:rPr>
        <w:t xml:space="preserve">Wellington Community Pharmacy Ltd.</w:t>
      </w:r>
    </w:p>
    <w:p>
      <w:pPr>
        <w:pStyle w:val="BodyText"/>
      </w:pPr>
      <w:r>
        <w:t xml:space="preserve">142 Lambton Quay, Te Aro, Wellington 6011, New Zealand</w:t>
      </w:r>
    </w:p>
    <w:p>
      <w:pPr>
        <w:pStyle w:val="BodyText"/>
      </w:pPr>
      <w:r>
        <w:t xml:space="preserve">Phone: +64 4 382 5501 | Email: procurement@wellingtoncommunitypharmacy.co.nz</w:t>
      </w:r>
    </w:p>
    <w:p>
      <w:pPr>
        <w:pStyle w:val="BodyText"/>
      </w:pPr>
      <w:r>
        <w:t xml:space="preserve">Business Number (NZBN): 942904123456789</w:t>
      </w:r>
    </w:p>
    <w:bookmarkEnd w:id="20"/>
    <w:p>
      <w:pPr>
        <w:pStyle w:val="BodyText"/>
      </w:pPr>
      <w:r>
        <w:rPr>
          <w:bCs/>
          <w:b/>
        </w:rPr>
        <w:t xml:space="preserve">Purchase Order No.:</w:t>
      </w:r>
      <w:r>
        <w:t xml:space="preserve"> </w:t>
      </w:r>
      <w:r>
        <w:t xml:space="preserve">WCP-PO-2025-00472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Prepared By:</w:t>
      </w:r>
      <w:r>
        <w:t xml:space="preserve"> </w:t>
      </w:r>
      <w:r>
        <w:t xml:space="preserve">Dr. Sarah Mitchell, Pharmacist (NZRMP #48291)</w:t>
      </w:r>
    </w:p>
    <w:p>
      <w:pPr>
        <w:pStyle w:val="BodyText"/>
      </w:pPr>
      <w:r>
        <w:rPr>
          <w:bCs/>
          <w:b/>
        </w:rPr>
        <w:t xml:space="preserve">Department:</w:t>
      </w:r>
      <w:r>
        <w:t xml:space="preserve"> </w:t>
      </w:r>
      <w:r>
        <w:t xml:space="preserve">Clinical Procurement &amp; Supply</w:t>
      </w:r>
    </w:p>
    <w:p>
      <w:pPr>
        <w:pStyle w:val="BodyText"/>
      </w:pPr>
      <w:r>
        <w:rPr>
          <w:bCs/>
          <w:b/>
        </w:rPr>
        <w:t xml:space="preserve">Payment Terms:</w:t>
      </w:r>
      <w:r>
        <w:t xml:space="preserve"> </w:t>
      </w:r>
      <w:r>
        <w:t xml:space="preserve">Net 30 Days</w:t>
      </w:r>
    </w:p>
    <w:bookmarkStart w:id="21"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PharmaSource Pacific Pty Ltd.</w:t>
            </w:r>
          </w:p>
        </w:tc>
      </w:tr>
      <w:tr>
        <w:tc>
          <w:tcPr/>
          <w:p>
            <w:pPr>
              <w:pStyle w:val="Compact"/>
              <w:jc w:val="left"/>
            </w:pPr>
            <w:r>
              <w:rPr>
                <w:bCs/>
                <w:b/>
              </w:rPr>
              <w:t xml:space="preserve">Address:</w:t>
            </w:r>
          </w:p>
        </w:tc>
        <w:tc>
          <w:tcPr/>
          <w:p>
            <w:pPr>
              <w:pStyle w:val="Compact"/>
              <w:jc w:val="left"/>
            </w:pPr>
            <w:r>
              <w:t xml:space="preserve">Unit 7, 220 Courtenay Place, Wellington Central, Wellington 6011, New Zealand</w:t>
            </w:r>
          </w:p>
        </w:tc>
      </w:tr>
      <w:tr>
        <w:tc>
          <w:tcPr/>
          <w:p>
            <w:pPr>
              <w:pStyle w:val="Compact"/>
              <w:jc w:val="left"/>
            </w:pPr>
            <w:r>
              <w:rPr>
                <w:bCs/>
                <w:b/>
              </w:rPr>
              <w:t xml:space="preserve">Contact Person:</w:t>
            </w:r>
          </w:p>
        </w:tc>
        <w:tc>
          <w:tcPr/>
          <w:p>
            <w:pPr>
              <w:pStyle w:val="Compact"/>
              <w:jc w:val="left"/>
            </w:pPr>
            <w:r>
              <w:t xml:space="preserve">Mr. David Chen, Regional Sales Manager</w:t>
            </w:r>
          </w:p>
        </w:tc>
      </w:tr>
      <w:tr>
        <w:tc>
          <w:tcPr/>
          <w:p>
            <w:pPr>
              <w:pStyle w:val="Compact"/>
              <w:jc w:val="left"/>
            </w:pPr>
            <w:r>
              <w:rPr>
                <w:bCs/>
                <w:b/>
              </w:rPr>
              <w:t xml:space="preserve">Phone / Email:</w:t>
            </w:r>
          </w:p>
        </w:tc>
        <w:tc>
          <w:tcPr/>
          <w:p>
            <w:pPr>
              <w:pStyle w:val="Compact"/>
              <w:jc w:val="left"/>
            </w:pPr>
            <w:r>
              <w:t xml:space="preserve">+64 4 471 8830 / sales@pharmasourcepacific.co.nz</w:t>
            </w:r>
          </w:p>
        </w:tc>
      </w:tr>
      <w:tr>
        <w:tc>
          <w:tcPr/>
          <w:p>
            <w:pPr>
              <w:pStyle w:val="Compact"/>
              <w:jc w:val="left"/>
            </w:pPr>
            <w:r>
              <w:rPr>
                <w:bCs/>
                <w:b/>
              </w:rPr>
              <w:t xml:space="preserve">Supplier NZBN:</w:t>
            </w:r>
          </w:p>
        </w:tc>
        <w:tc>
          <w:tcPr/>
          <w:p>
            <w:pPr>
              <w:pStyle w:val="Compact"/>
              <w:jc w:val="left"/>
            </w:pPr>
            <w:r>
              <w:t xml:space="preserve">942903987654321</w:t>
            </w:r>
          </w:p>
        </w:tc>
      </w:tr>
    </w:tbl>
    <w:bookmarkEnd w:id="21"/>
    <w:bookmarkStart w:id="22" w:name="buyer-information-pharmacist-of-record"/>
    <w:p>
      <w:pPr>
        <w:pStyle w:val="Heading2"/>
      </w:pPr>
      <w:r>
        <w:t xml:space="preserve">Buyer Information (Pharmacist of Record)</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Pharmacist Name:</w:t>
            </w:r>
          </w:p>
        </w:tc>
        <w:tc>
          <w:tcPr/>
          <w:p>
            <w:pPr>
              <w:pStyle w:val="Compact"/>
              <w:jc w:val="left"/>
            </w:pPr>
            <w:r>
              <w:t xml:space="preserve">Dr. Sarah Mitchell, BPharm, MPharm, NZRMP #48291</w:t>
            </w:r>
          </w:p>
        </w:tc>
      </w:tr>
      <w:tr>
        <w:tc>
          <w:tcPr/>
          <w:p>
            <w:pPr>
              <w:pStyle w:val="Compact"/>
              <w:jc w:val="left"/>
            </w:pPr>
            <w:r>
              <w:rPr>
                <w:bCs/>
                <w:b/>
              </w:rPr>
              <w:t xml:space="preserve">Role:</w:t>
            </w:r>
          </w:p>
        </w:tc>
        <w:tc>
          <w:tcPr/>
          <w:p>
            <w:pPr>
              <w:pStyle w:val="Compact"/>
              <w:jc w:val="left"/>
            </w:pPr>
            <w:r>
              <w:t xml:space="preserve">Principal Pharmacist &amp; Owner, Wellington Community Pharmacy Ltd.</w:t>
            </w:r>
          </w:p>
        </w:tc>
      </w:tr>
      <w:tr>
        <w:tc>
          <w:tcPr/>
          <w:p>
            <w:pPr>
              <w:pStyle w:val="Compact"/>
              <w:jc w:val="left"/>
            </w:pPr>
            <w:r>
              <w:rPr>
                <w:bCs/>
                <w:b/>
              </w:rPr>
              <w:t xml:space="preserve">Business Address:</w:t>
            </w:r>
          </w:p>
        </w:tc>
        <w:tc>
          <w:tcPr/>
          <w:p>
            <w:pPr>
              <w:pStyle w:val="Compact"/>
              <w:jc w:val="left"/>
            </w:pPr>
            <w:r>
              <w:t xml:space="preserve">142 Lambton Quay, Te Aro, Wellington 6011, New Zealand</w:t>
            </w:r>
          </w:p>
        </w:tc>
      </w:tr>
      <w:tr>
        <w:tc>
          <w:tcPr/>
          <w:p>
            <w:pPr>
              <w:pStyle w:val="Compact"/>
              <w:jc w:val="left"/>
            </w:pPr>
            <w:r>
              <w:rPr>
                <w:bCs/>
                <w:b/>
              </w:rPr>
              <w:t xml:space="preserve">Delivery Address:</w:t>
            </w:r>
          </w:p>
        </w:tc>
        <w:tc>
          <w:tcPr/>
          <w:p>
            <w:pPr>
              <w:pStyle w:val="Compact"/>
              <w:jc w:val="left"/>
            </w:pPr>
            <w:r>
              <w:t xml:space="preserve">Wellington Community Pharmacy Ltd., 142 Lambton Quay, Te Aro, Wellington 6011, New Zealand</w:t>
            </w:r>
          </w:p>
        </w:tc>
      </w:tr>
      <w:tr>
        <w:tc>
          <w:tcPr/>
          <w:p>
            <w:pPr>
              <w:pStyle w:val="Compact"/>
              <w:jc w:val="left"/>
            </w:pPr>
            <w:r>
              <w:rPr>
                <w:bCs/>
                <w:b/>
              </w:rPr>
              <w:t xml:space="preserve">Delivery Contact:</w:t>
            </w:r>
          </w:p>
        </w:tc>
        <w:tc>
          <w:tcPr/>
          <w:p>
            <w:pPr>
              <w:pStyle w:val="Compact"/>
              <w:jc w:val="left"/>
            </w:pPr>
            <w:r>
              <w:t xml:space="preserve">Dr. Sarah Mitchell (Pharmacist) or Mr. James Okafor, Pharmacy Technician</w:t>
            </w:r>
          </w:p>
        </w:tc>
      </w:tr>
    </w:tbl>
    <w:bookmarkEnd w:id="22"/>
    <w:bookmarkStart w:id="23" w:name="X7fbd1e943ace09e22fa150a63aa4d0786901cc3"/>
    <w:p>
      <w:pPr>
        <w:pStyle w:val="Heading2"/>
      </w:pPr>
      <w:r>
        <w:t xml:space="preserve">Line Items – Pharmaceutical Products, Equipment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Product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Amoxicillin 500mg Capsules (100s) – Schedule 2 Medicine</w:t>
            </w:r>
          </w:p>
        </w:tc>
        <w:tc>
          <w:tcPr/>
          <w:p>
            <w:pPr>
              <w:pStyle w:val="Compact"/>
              <w:jc w:val="left"/>
            </w:pPr>
            <w:r>
              <w:t xml:space="preserve">PS-AMX-500-100</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Ibuprofen 400mg Tablets (100s) – Over-the-Counter</w:t>
            </w:r>
          </w:p>
        </w:tc>
        <w:tc>
          <w:tcPr/>
          <w:p>
            <w:pPr>
              <w:pStyle w:val="Compact"/>
              <w:jc w:val="left"/>
            </w:pPr>
            <w:r>
              <w:t xml:space="preserve">PS-IBU-400-100</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9.20</w:t>
            </w:r>
          </w:p>
        </w:tc>
        <w:tc>
          <w:tcPr/>
          <w:p>
            <w:pPr>
              <w:pStyle w:val="Compact"/>
              <w:jc w:val="left"/>
            </w:pPr>
            <w:r>
              <w:t xml:space="preserve">1,380.00</w:t>
            </w:r>
          </w:p>
        </w:tc>
      </w:tr>
      <w:tr>
        <w:tc>
          <w:tcPr/>
          <w:p>
            <w:pPr>
              <w:pStyle w:val="Compact"/>
              <w:jc w:val="left"/>
            </w:pPr>
            <w:r>
              <w:t xml:space="preserve">3</w:t>
            </w:r>
          </w:p>
        </w:tc>
        <w:tc>
          <w:tcPr/>
          <w:p>
            <w:pPr>
              <w:pStyle w:val="Compact"/>
              <w:jc w:val="left"/>
            </w:pPr>
            <w:r>
              <w:t xml:space="preserve">Metformin 500mg Tablets (100s) – Prescription Only</w:t>
            </w:r>
          </w:p>
        </w:tc>
        <w:tc>
          <w:tcPr/>
          <w:p>
            <w:pPr>
              <w:pStyle w:val="Compact"/>
              <w:jc w:val="left"/>
            </w:pPr>
            <w:r>
              <w:t xml:space="preserve">PS-MET-500-100</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14.75</w:t>
            </w:r>
          </w:p>
        </w:tc>
        <w:tc>
          <w:tcPr/>
          <w:p>
            <w:pPr>
              <w:pStyle w:val="Compact"/>
              <w:jc w:val="left"/>
            </w:pPr>
            <w:r>
              <w:t xml:space="preserve">1,475.00</w:t>
            </w:r>
          </w:p>
        </w:tc>
      </w:tr>
      <w:tr>
        <w:tc>
          <w:tcPr/>
          <w:p>
            <w:pPr>
              <w:pStyle w:val="Compact"/>
              <w:jc w:val="left"/>
            </w:pPr>
            <w:r>
              <w:t xml:space="preserve">4</w:t>
            </w:r>
          </w:p>
        </w:tc>
        <w:tc>
          <w:tcPr/>
          <w:p>
            <w:pPr>
              <w:pStyle w:val="Compact"/>
              <w:jc w:val="left"/>
            </w:pPr>
            <w:r>
              <w:t xml:space="preserve">Pharmaceutical Grade Nitrile Gloves (Size M, 100s)</w:t>
            </w:r>
          </w:p>
        </w:tc>
        <w:tc>
          <w:tcPr/>
          <w:p>
            <w:pPr>
              <w:pStyle w:val="Compact"/>
              <w:jc w:val="left"/>
            </w:pPr>
            <w:r>
              <w:t xml:space="preserve">PS-GLV-NIT-M100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12.30</w:t>
            </w:r>
          </w:p>
        </w:tc>
        <w:tc>
          <w:tcPr/>
          <w:p>
            <w:pPr>
              <w:pStyle w:val="Compact"/>
              <w:jc w:val="left"/>
            </w:pPr>
            <w:r>
              <w:t xml:space="preserve">615.00</w:t>
            </w:r>
          </w:p>
        </w:tc>
      </w:tr>
      <w:tr>
        <w:tc>
          <w:tcPr/>
          <w:p>
            <w:pPr>
              <w:pStyle w:val="Compact"/>
              <w:jc w:val="left"/>
            </w:pPr>
            <w:r>
              <w:t xml:space="preserve">5</w:t>
            </w:r>
          </w:p>
        </w:tc>
        <w:tc>
          <w:tcPr/>
          <w:p>
            <w:pPr>
              <w:pStyle w:val="Compact"/>
              <w:jc w:val="left"/>
            </w:pPr>
            <w:r>
              <w:t xml:space="preserve">Electronic Digital Weighing Scale (0.01g Precision, 500g Max)</w:t>
            </w:r>
          </w:p>
        </w:tc>
        <w:tc>
          <w:tcPr/>
          <w:p>
            <w:pPr>
              <w:pStyle w:val="Compact"/>
              <w:jc w:val="left"/>
            </w:pPr>
            <w:r>
              <w:t xml:space="preserve">PS-EQ-WEIGH-500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6</w:t>
            </w:r>
          </w:p>
        </w:tc>
        <w:tc>
          <w:tcPr/>
          <w:p>
            <w:pPr>
              <w:pStyle w:val="Compact"/>
              <w:jc w:val="left"/>
            </w:pPr>
            <w:r>
              <w:t xml:space="preserve">Pharmaceutical Refrigeration Unit (200L, 2–8°C, GxP Compliant)</w:t>
            </w:r>
          </w:p>
        </w:tc>
        <w:tc>
          <w:tcPr/>
          <w:p>
            <w:pPr>
              <w:pStyle w:val="Compact"/>
              <w:jc w:val="left"/>
            </w:pPr>
            <w:r>
              <w:t xml:space="preserve">PS-EQ-REF-200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7</w:t>
            </w:r>
          </w:p>
        </w:tc>
        <w:tc>
          <w:tcPr/>
          <w:p>
            <w:pPr>
              <w:pStyle w:val="Compact"/>
              <w:jc w:val="left"/>
            </w:pPr>
            <w:r>
              <w:t xml:space="preserve">Pharmacy Label Printer with Thermal Transfer (A4)</w:t>
            </w:r>
          </w:p>
        </w:tc>
        <w:tc>
          <w:tcPr/>
          <w:p>
            <w:pPr>
              <w:pStyle w:val="Compact"/>
              <w:jc w:val="left"/>
            </w:pPr>
            <w:r>
              <w:t xml:space="preserve">PS-EQ-LBL-A4</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8</w:t>
            </w:r>
          </w:p>
        </w:tc>
        <w:tc>
          <w:tcPr/>
          <w:p>
            <w:pPr>
              <w:pStyle w:val="Compact"/>
              <w:jc w:val="left"/>
            </w:pPr>
            <w:r>
              <w:t xml:space="preserve">Sterile Gauze Pads (10cm x 10cm, 100s)</w:t>
            </w:r>
          </w:p>
        </w:tc>
        <w:tc>
          <w:tcPr/>
          <w:p>
            <w:pPr>
              <w:pStyle w:val="Compact"/>
              <w:jc w:val="left"/>
            </w:pPr>
            <w:r>
              <w:t xml:space="preserve">PS-CON-GAUZE-100</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6.40</w:t>
            </w:r>
          </w:p>
        </w:tc>
        <w:tc>
          <w:tcPr/>
          <w:p>
            <w:pPr>
              <w:pStyle w:val="Compact"/>
              <w:jc w:val="left"/>
            </w:pPr>
            <w:r>
              <w:t xml:space="preserve">512.00</w:t>
            </w:r>
          </w:p>
        </w:tc>
      </w:tr>
      <w:tr>
        <w:tc>
          <w:tcPr/>
          <w:p>
            <w:pPr>
              <w:pStyle w:val="Compact"/>
              <w:jc w:val="left"/>
            </w:pPr>
            <w:r>
              <w:t xml:space="preserve">9</w:t>
            </w:r>
          </w:p>
        </w:tc>
        <w:tc>
          <w:tcPr/>
          <w:p>
            <w:pPr>
              <w:pStyle w:val="Compact"/>
              <w:jc w:val="left"/>
            </w:pPr>
            <w:r>
              <w:t xml:space="preserve">Pharmacist Training Manual – NZ Medicines &amp; Health (MHRA) Compliance 2025</w:t>
            </w:r>
          </w:p>
        </w:tc>
        <w:tc>
          <w:tcPr/>
          <w:p>
            <w:pPr>
              <w:pStyle w:val="Compact"/>
              <w:jc w:val="left"/>
            </w:pPr>
            <w:r>
              <w:t xml:space="preserve">PS-DOC-NZ-2025</w:t>
            </w:r>
          </w:p>
        </w:tc>
        <w:tc>
          <w:tcPr/>
          <w:p>
            <w:pPr>
              <w:pStyle w:val="Compact"/>
              <w:jc w:val="left"/>
            </w:pPr>
            <w:r>
              <w:t xml:space="preserve">5</w:t>
            </w:r>
          </w:p>
        </w:tc>
        <w:tc>
          <w:tcPr/>
          <w:p>
            <w:pPr>
              <w:pStyle w:val="Compact"/>
              <w:jc w:val="left"/>
            </w:pPr>
            <w:r>
              <w:t xml:space="preserve">Copies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Pharmacy Waste Disposal Bins (Yellow, 60L, with Pedal)</w:t>
            </w:r>
          </w:p>
        </w:tc>
        <w:tc>
          <w:tcPr/>
          <w:p>
            <w:pPr>
              <w:pStyle w:val="Compact"/>
              <w:jc w:val="left"/>
            </w:pPr>
            <w:r>
              <w:t xml:space="preserve">PS-EQ-WASTE-60</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w:t>
            </w:r>
          </w:p>
        </w:tc>
        <w:tc>
          <w:tcPr/>
          <w:p>
            <w:pPr>
              <w:pStyle w:val="Compact"/>
              <w:jc w:val="left"/>
            </w:pPr>
            <w:r>
              <w:t xml:space="preserve">356.00</w:t>
            </w:r>
          </w:p>
        </w:tc>
      </w:tr>
    </w:tbl>
    <w:p>
      <w:pPr>
        <w:pStyle w:val="BodyText"/>
      </w:pPr>
      <w:r>
        <w:rPr>
          <w:bCs/>
          <w:b/>
        </w:rPr>
        <w:t xml:space="preserve">Subtotal:</w:t>
      </w:r>
      <w:r>
        <w:t xml:space="preserve"> </w:t>
      </w:r>
      <w:r>
        <w:t xml:space="preserve">NZD 15,173.00</w:t>
      </w:r>
    </w:p>
    <w:p>
      <w:pPr>
        <w:pStyle w:val="BodyText"/>
      </w:pPr>
      <w:r>
        <w:rPr>
          <w:bCs/>
          <w:b/>
        </w:rPr>
        <w:t xml:space="preserve">GST (15% – New Zealand Goods and Services Tax):</w:t>
      </w:r>
      <w:r>
        <w:t xml:space="preserve"> </w:t>
      </w:r>
      <w:r>
        <w:t xml:space="preserve">NZD 2,275.95</w:t>
      </w:r>
    </w:p>
    <w:p>
      <w:pPr>
        <w:pStyle w:val="BodyText"/>
      </w:pPr>
      <w:r>
        <w:rPr>
          <w:bCs/>
          <w:b/>
        </w:rPr>
        <w:t xml:space="preserve">Freight &amp; Delivery (Wellington Metro):</w:t>
      </w:r>
      <w:r>
        <w:t xml:space="preserve"> </w:t>
      </w:r>
      <w:r>
        <w:t xml:space="preserve">NZD 185.00</w:t>
      </w:r>
    </w:p>
    <w:p>
      <w:pPr>
        <w:pStyle w:val="BodyText"/>
      </w:pPr>
      <w:r>
        <w:rPr>
          <w:bCs/>
          <w:b/>
        </w:rPr>
        <w:t xml:space="preserve">Grand Total: NZD 17,633.95</w:t>
      </w:r>
    </w:p>
    <w:bookmarkEnd w:id="23"/>
    <w:bookmarkStart w:id="24" w:name="terms-and-conditions"/>
    <w:p>
      <w:pPr>
        <w:pStyle w:val="Heading2"/>
      </w:pPr>
      <w:r>
        <w:t xml:space="preserve">Terms and Conditions</w:t>
      </w:r>
    </w:p>
    <w:p>
      <w:pPr>
        <w:numPr>
          <w:ilvl w:val="0"/>
          <w:numId w:val="1001"/>
        </w:numPr>
        <w:pStyle w:val="Compact"/>
      </w:pPr>
      <w:r>
        <w:rPr>
          <w:bCs/>
          <w:b/>
        </w:rPr>
        <w:t xml:space="preserve">1. Governing Law:</w:t>
      </w:r>
      <w:r>
        <w:t xml:space="preserve"> </w:t>
      </w:r>
      <w:r>
        <w:t xml:space="preserve">This Purchase Order is governed by the laws of New Zealand, specifically the Consumer Guarantees Act 1993, the Fair Trading Act 1986, and the Medicines Act 1981 as applicable to the supply of pharmaceutical products within New Zealand Wellington and the broader Capital Region.</w:t>
      </w:r>
    </w:p>
    <w:p>
      <w:pPr>
        <w:numPr>
          <w:ilvl w:val="0"/>
          <w:numId w:val="1001"/>
        </w:numPr>
        <w:pStyle w:val="Compact"/>
      </w:pPr>
      <w:r>
        <w:rPr>
          <w:bCs/>
          <w:b/>
        </w:rPr>
        <w:t xml:space="preserve">2. Pharmacist Compliance:</w:t>
      </w:r>
      <w:r>
        <w:t xml:space="preserve"> </w:t>
      </w:r>
      <w:r>
        <w:t xml:space="preserve">All pharmaceutical products listed in this Purchase Order must comply with the standards set by the Pharmacy Council of New Zealand and the Medicines and Medical Devices Safety Authority (Medsafe). The Pharmacist of record, Dr. Sarah Mitchell, reserves the right to reject any items that do not meet the required quality, labelling, or regulatory standards upon delivery.</w:t>
      </w:r>
    </w:p>
    <w:p>
      <w:pPr>
        <w:numPr>
          <w:ilvl w:val="0"/>
          <w:numId w:val="1001"/>
        </w:numPr>
        <w:pStyle w:val="Compact"/>
      </w:pPr>
      <w:r>
        <w:rPr>
          <w:bCs/>
          <w:b/>
        </w:rPr>
        <w:t xml:space="preserve">3. Delivery:</w:t>
      </w:r>
      <w:r>
        <w:t xml:space="preserve"> </w:t>
      </w:r>
      <w:r>
        <w:t xml:space="preserve">All goods must be delivered to the specified address in Wellington, New Zealand, no later than 26 June 2025. Delivery must occur between 08:00 and 16:00 NZST on a business day. The Pharmacist or an authorised pharmacy technician must be present to sign for receipt of goods.</w:t>
      </w:r>
    </w:p>
    <w:p>
      <w:pPr>
        <w:numPr>
          <w:ilvl w:val="0"/>
          <w:numId w:val="1001"/>
        </w:numPr>
        <w:pStyle w:val="Compact"/>
      </w:pPr>
      <w:r>
        <w:rPr>
          <w:bCs/>
          <w:b/>
        </w:rPr>
        <w:t xml:space="preserve">4. Payment:</w:t>
      </w:r>
      <w:r>
        <w:t xml:space="preserve"> </w:t>
      </w:r>
      <w:r>
        <w:t xml:space="preserve">Payment of the full Purchase Order amount of NZD 17,633.95 (inclusive of 15% GST) shall be made within thirty (30) calendar days of the date of this Purchase Order via bank transfer to the supplier's nominated New Zealand bank account. Late payments shall attract interest at the rate of 10% per annum as per the Commerce Act 1986.</w:t>
      </w:r>
    </w:p>
    <w:p>
      <w:pPr>
        <w:numPr>
          <w:ilvl w:val="0"/>
          <w:numId w:val="1001"/>
        </w:numPr>
        <w:pStyle w:val="Compact"/>
      </w:pPr>
      <w:r>
        <w:rPr>
          <w:bCs/>
          <w:b/>
        </w:rPr>
        <w:t xml:space="preserve">5. Quality Assurance:</w:t>
      </w:r>
      <w:r>
        <w:t xml:space="preserve"> </w:t>
      </w:r>
      <w:r>
        <w:t xml:space="preserve">The supplier warrants that all pharmaceutical products are within their expiry date (minimum 18 months remaining at time of delivery), stored and transported in accordance with Good Distribution Practice (GDP) as required for New Zealand Wellington-based pharmacies, and accompanied by appropriate certificates of analysis where applicable.</w:t>
      </w:r>
    </w:p>
    <w:p>
      <w:pPr>
        <w:numPr>
          <w:ilvl w:val="0"/>
          <w:numId w:val="1001"/>
        </w:numPr>
        <w:pStyle w:val="Compact"/>
      </w:pPr>
      <w:r>
        <w:rPr>
          <w:bCs/>
          <w:b/>
        </w:rPr>
        <w:t xml:space="preserve">6. Returns and Rejections:</w:t>
      </w:r>
      <w:r>
        <w:t xml:space="preserve"> </w:t>
      </w:r>
      <w:r>
        <w:t xml:space="preserve">The Pharmacist may reject any damaged, expired, or non-conforming items within seven (7) days of delivery. Rejected items must be returned to the supplier at the supplier's cost. A credit note shall be issued within five (5) business days of the return being received.</w:t>
      </w:r>
    </w:p>
    <w:p>
      <w:pPr>
        <w:numPr>
          <w:ilvl w:val="0"/>
          <w:numId w:val="1001"/>
        </w:numPr>
        <w:pStyle w:val="Compact"/>
      </w:pPr>
      <w:r>
        <w:rPr>
          <w:bCs/>
          <w:b/>
        </w:rPr>
        <w:t xml:space="preserve">7. Confidentiality:</w:t>
      </w:r>
      <w:r>
        <w:t xml:space="preserve"> </w:t>
      </w:r>
      <w:r>
        <w:t xml:space="preserve">Both parties agree to maintain the confidentiality of all commercial terms contained in this Purchase Order. No information regarding pricing, volumes, or the identity of the Pharmacist or pharmacy shall be disclosed to third parties without written consent.</w:t>
      </w:r>
    </w:p>
    <w:p>
      <w:pPr>
        <w:numPr>
          <w:ilvl w:val="0"/>
          <w:numId w:val="1001"/>
        </w:numPr>
        <w:pStyle w:val="Compact"/>
      </w:pPr>
      <w:r>
        <w:rPr>
          <w:bCs/>
          <w:b/>
        </w:rPr>
        <w:t xml:space="preserve">8. Dispute Resolution:</w:t>
      </w:r>
      <w:r>
        <w:t xml:space="preserve"> </w:t>
      </w:r>
      <w:r>
        <w:t xml:space="preserve">Any disputes arising from this Purchase Order shall first be attempted to be resolved through good-faith negotiation between the Pharmacist and the supplier. If unresolved, the matter shall be referred to the Disputes Tribunal of New Zealand or the District Court of Wellington, as appropriate.</w:t>
      </w:r>
    </w:p>
    <w:p>
      <w:pPr>
        <w:numPr>
          <w:ilvl w:val="0"/>
          <w:numId w:val="1001"/>
        </w:numPr>
        <w:pStyle w:val="Compact"/>
      </w:pPr>
      <w:r>
        <w:rPr>
          <w:bCs/>
          <w:b/>
        </w:rPr>
        <w:t xml:space="preserve">9. Force Majeure:</w:t>
      </w:r>
      <w:r>
        <w:t xml:space="preserve"> </w:t>
      </w:r>
      <w:r>
        <w:t xml:space="preserve">Neither party shall be liable for failure to perform obligations under this Purchase Order due to events beyond reasonable control, including but not limited to natural disasters (earthquakes, tsunamis, volcanic activity common to New Zealand Wellington), government-imposed restrictions, or supply chain disruptions.</w:t>
      </w:r>
    </w:p>
    <w:bookmarkEnd w:id="24"/>
    <w:bookmarkStart w:id="25" w:name="authorisation-and-signatures"/>
    <w:p>
      <w:pPr>
        <w:pStyle w:val="Heading2"/>
      </w:pPr>
      <w:r>
        <w:t xml:space="preserve">Authorisation and Signatures</w:t>
      </w:r>
    </w:p>
    <w:p>
      <w:pPr>
        <w:pStyle w:val="FirstParagraph"/>
      </w:pPr>
      <w:r>
        <w:t xml:space="preserve">This Purchase Order is issued and authorised by the undersigned Pharmacist in accordance with the operational policies of Wellington Community Pharmacy Ltd. and the regulatory requirements of the Pharmacy Council of New Zealand.</w:t>
      </w:r>
    </w:p>
    <w:p>
      <w:pPr>
        <w:pStyle w:val="BodyText"/>
      </w:pPr>
      <w:r>
        <w:rPr>
          <w:bCs/>
          <w:b/>
        </w:rPr>
        <w:t xml:space="preserve">For and on behalf of the Buyer (Pharmacist):</w:t>
      </w:r>
    </w:p>
    <w:p>
      <w:pPr>
        <w:pStyle w:val="BodyText"/>
      </w:pPr>
      <w:r>
        <w:t xml:space="preserve">Dr. Sarah Mitchell, Pharmacist (NZRMP #48291)</w:t>
      </w:r>
      <w:r>
        <w:br/>
      </w:r>
      <w:r>
        <w:t xml:space="preserve">Principal Pharmacist &amp; Owner</w:t>
      </w:r>
      <w:r>
        <w:br/>
      </w:r>
      <w:r>
        <w:t xml:space="preserve">Wellington Community Pharmacy Ltd.</w:t>
      </w:r>
      <w:r>
        <w:br/>
      </w:r>
      <w:r>
        <w:t xml:space="preserve">Date: 12 June 2025</w:t>
      </w:r>
    </w:p>
    <w:p>
      <w:pPr>
        <w:pStyle w:val="BodyText"/>
      </w:pPr>
      <w:r>
        <w:rPr>
          <w:bCs/>
          <w:b/>
        </w:rPr>
        <w:t xml:space="preserve">Accepted and Acknowledged by the Supplier:</w:t>
      </w:r>
    </w:p>
    <w:p>
      <w:pPr>
        <w:pStyle w:val="BodyText"/>
      </w:pPr>
      <w:r>
        <w:t xml:space="preserve">Mr. David Chen</w:t>
      </w:r>
      <w:r>
        <w:br/>
      </w:r>
      <w:r>
        <w:t xml:space="preserve">Regional Sales Manager</w:t>
      </w:r>
      <w:r>
        <w:br/>
      </w:r>
      <w:r>
        <w:t xml:space="preserve">PharmaSource Pacific Pty Ltd.</w:t>
      </w:r>
      <w:r>
        <w:br/>
      </w:r>
      <w:r>
        <w:t xml:space="preserve">Date: _______________</w:t>
      </w:r>
    </w:p>
    <w:bookmarkEnd w:id="25"/>
    <w:p>
      <w:pPr>
        <w:pStyle w:val="BodyText"/>
      </w:pPr>
      <w:r>
        <w:t xml:space="preserve">This Purchase Order (WCP-PO-2025-00472) was prepared by Dr. Sarah Mitchell, Pharmacist, at Wellington Community Pharmacy Ltd., 142 Lambton Quay, Te Aro, Wellington 6011, New Zealand. All transactions are subject to New Zealand tax law and the 15% Goods and Services Tax (GST) administered by the Inland Revenue Department (IRD). This document is valid for a period of thirty (30) days from the date of issue. For queries regarding this Purchase Order, please contact the Pharmacist of record at procurement@wellingtoncommunitypharmacy.co.nz or +64 4 382 5501.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New Zealand Wellington</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