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PO-2025-LIM-04782</w:t>
      </w:r>
    </w:p>
    <w:p>
      <w:pPr>
        <w:pStyle w:val="BodyText"/>
      </w:pPr>
      <w:r>
        <w:t xml:space="preserve">Pharmaceutical Supply Procurement for Licensed Pharmacist Operations</w:t>
      </w:r>
    </w:p>
    <w:p>
      <w:pPr>
        <w:pStyle w:val="BodyText"/>
      </w:pPr>
      <w:r>
        <w:t xml:space="preserve">City of Lima, Republic of Peru</w:t>
      </w:r>
    </w:p>
    <w:p>
      <w:pPr>
        <w:pStyle w:val="BodyText"/>
      </w:pPr>
      <w:r>
        <w:t xml:space="preserve">Date of Issue: June 12, 2025</w:t>
      </w:r>
    </w:p>
    <w:bookmarkEnd w:id="20"/>
    <w:bookmarkStart w:id="23" w:name="Xacefb19a918bc0e842236489a9dae16a3fd8594"/>
    <w:p>
      <w:pPr>
        <w:pStyle w:val="Heading2"/>
      </w:pPr>
      <w:r>
        <w:t xml:space="preserve">1. Purchase Order Identification and Parties</w:t>
      </w:r>
    </w:p>
    <w:bookmarkStart w:id="21" w:name="buyer-receiving-party"/>
    <w:p>
      <w:pPr>
        <w:pStyle w:val="Heading3"/>
      </w:pPr>
      <w:r>
        <w:t xml:space="preserve">Buyer (Receiving Party)</w:t>
      </w:r>
    </w:p>
    <w:p>
      <w:pPr>
        <w:pStyle w:val="FirstParagraph"/>
      </w:pPr>
      <w:r>
        <w:rPr>
          <w:bCs/>
          <w:b/>
        </w:rPr>
        <w:t xml:space="preserve">Name:</w:t>
      </w:r>
      <w:r>
        <w:t xml:space="preserve"> </w:t>
      </w:r>
      <w:r>
        <w:t xml:space="preserve">Farmacia Central del Pacífico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1245, San Isidro, Lima, Peru</w:t>
      </w:r>
    </w:p>
    <w:p>
      <w:pPr>
        <w:pStyle w:val="BodyText"/>
      </w:pPr>
      <w:r>
        <w:rPr>
          <w:bCs/>
          <w:b/>
        </w:rPr>
        <w:t xml:space="preserve">Contact:</w:t>
      </w:r>
      <w:r>
        <w:t xml:space="preserve"> </w:t>
      </w:r>
      <w:r>
        <w:t xml:space="preserve">+51 1 4567 890</w:t>
      </w:r>
    </w:p>
    <w:p>
      <w:pPr>
        <w:pStyle w:val="BodyText"/>
      </w:pPr>
      <w:r>
        <w:rPr>
          <w:bCs/>
          <w:b/>
        </w:rPr>
        <w:t xml:space="preserve">Email:</w:t>
      </w:r>
      <w:r>
        <w:t xml:space="preserve"> </w:t>
      </w:r>
      <w:r>
        <w:t xml:space="preserve">compras@farmaciacentralperu.com</w:t>
      </w:r>
    </w:p>
    <w:bookmarkEnd w:id="21"/>
    <w:bookmarkStart w:id="22" w:name="supplier-selling-party"/>
    <w:p>
      <w:pPr>
        <w:pStyle w:val="Heading3"/>
      </w:pPr>
      <w:r>
        <w:t xml:space="preserve">Supplier (Selling Party)</w:t>
      </w:r>
    </w:p>
    <w:p>
      <w:pPr>
        <w:pStyle w:val="FirstParagraph"/>
      </w:pPr>
      <w:r>
        <w:rPr>
          <w:bCs/>
          <w:b/>
        </w:rPr>
        <w:t xml:space="preserve">Name:</w:t>
      </w:r>
      <w:r>
        <w:t xml:space="preserve"> </w:t>
      </w:r>
      <w:r>
        <w:t xml:space="preserve">Distribuidora Farmacéutica Andina S.R.L.</w:t>
      </w:r>
    </w:p>
    <w:p>
      <w:pPr>
        <w:pStyle w:val="BodyText"/>
      </w:pPr>
      <w:r>
        <w:rPr>
          <w:bCs/>
          <w:b/>
        </w:rPr>
        <w:t xml:space="preserve">RUC:</w:t>
      </w:r>
      <w:r>
        <w:t xml:space="preserve"> </w:t>
      </w:r>
      <w:r>
        <w:t xml:space="preserve">20509876543</w:t>
      </w:r>
    </w:p>
    <w:p>
      <w:pPr>
        <w:pStyle w:val="BodyText"/>
      </w:pPr>
      <w:r>
        <w:rPr>
          <w:bCs/>
          <w:b/>
        </w:rPr>
        <w:t xml:space="preserve">Address:</w:t>
      </w:r>
      <w:r>
        <w:t xml:space="preserve"> </w:t>
      </w:r>
      <w:r>
        <w:t xml:space="preserve">Jr. Unión 890, La Victoria, Lima, Peru</w:t>
      </w:r>
    </w:p>
    <w:p>
      <w:pPr>
        <w:pStyle w:val="BodyText"/>
      </w:pPr>
      <w:r>
        <w:rPr>
          <w:bCs/>
          <w:b/>
        </w:rPr>
        <w:t xml:space="preserve">Contact:</w:t>
      </w:r>
      <w:r>
        <w:t xml:space="preserve"> </w:t>
      </w:r>
      <w:r>
        <w:t xml:space="preserve">+51 1 3210 456</w:t>
      </w:r>
    </w:p>
    <w:p>
      <w:pPr>
        <w:pStyle w:val="BodyText"/>
      </w:pPr>
      <w:r>
        <w:rPr>
          <w:bCs/>
          <w:b/>
        </w:rPr>
        <w:t xml:space="preserve">Email:</w:t>
      </w:r>
      <w:r>
        <w:t xml:space="preserve"> </w:t>
      </w:r>
      <w:r>
        <w:t xml:space="preserve">ventas@distfarmandina.com</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Farmacia Central del Pacífico S.A.C. to procure essential pharmaceutical products, laboratory reagents, and professional equipment required for the daily operations of our licensed</w:t>
      </w:r>
      <w:r>
        <w:t xml:space="preserve"> </w:t>
      </w:r>
      <w:r>
        <w:rPr>
          <w:bCs/>
          <w:b/>
        </w:rPr>
        <w:t xml:space="preserve">Pharmacist</w:t>
      </w:r>
      <w:r>
        <w:t xml:space="preserve">, Dr. María Elena Quispe Rojas (Colegiado N° 45892, Colegio de Farmacéuticos del Perú). The Pharmacist will be responsible for the dispensing, compounding, quality control, and clinical consultation services at our primary retail location in the district of San Isidro,</w:t>
      </w:r>
      <w:r>
        <w:t xml:space="preserve"> </w:t>
      </w:r>
      <w:r>
        <w:rPr>
          <w:bCs/>
          <w:b/>
        </w:rPr>
        <w:t xml:space="preserve">Peru Lima</w:t>
      </w:r>
      <w:r>
        <w:t xml:space="preserve">. All items listed in this Purchase Order must comply with the regulatory standards established by DIGEMID (Dirección General de Medicamentos, Insumos y Maquinaria Médica) and the current Good Manufacturing Practices (GMP) regulations in force in the Republic of Peru.</w:t>
      </w:r>
    </w:p>
    <w:p>
      <w:pPr>
        <w:pStyle w:val="BodyText"/>
      </w:pPr>
      <w:r>
        <w:t xml:space="preserve">The Pharmacist, in accordance with Law N° 27368 (Ley de Ejercicio de la Profesión de Farmacéutico) and its regulations, requires these specific materials to ensure patient safety, proper medication management, and compliance with the health protocols mandated by the Ministry of Health (MINSA) in the metropolitan area of</w:t>
      </w:r>
      <w:r>
        <w:t xml:space="preserve"> </w:t>
      </w:r>
      <w:r>
        <w:rPr>
          <w:bCs/>
          <w:b/>
        </w:rPr>
        <w:t xml:space="preserve">Peru Lima</w:t>
      </w:r>
      <w:r>
        <w:t xml:space="preserve">. This Purchase Order reflects the quarterly procurement cycle for the second quarter of 2025.</w:t>
      </w:r>
    </w:p>
    <w:bookmarkEnd w:id="24"/>
    <w:bookmarkStart w:id="25"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Amoxicillin 500mg capsules (Bottle of 100) – DIGEMID Reg. N° 2019-0456</w:t>
            </w:r>
          </w:p>
        </w:tc>
        <w:tc>
          <w:tcPr/>
          <w:p>
            <w:pPr>
              <w:pStyle w:val="Compact"/>
              <w:jc w:val="left"/>
            </w:pPr>
            <w:r>
              <w:t xml:space="preserve">Box</w:t>
            </w:r>
          </w:p>
        </w:tc>
        <w:tc>
          <w:tcPr/>
          <w:p>
            <w:pPr>
              <w:pStyle w:val="Compact"/>
              <w:jc w:val="left"/>
            </w:pPr>
            <w:r>
              <w:t xml:space="preserve">250</w:t>
            </w:r>
          </w:p>
        </w:tc>
        <w:tc>
          <w:tcPr/>
          <w:p>
            <w:pPr>
              <w:pStyle w:val="Compact"/>
              <w:jc w:val="left"/>
            </w:pPr>
            <w:r>
              <w:t xml:space="preserve">18.50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Ibuprofen 400mg tablets (Bottle of 30) – DIGEMID Reg. N° 2020-1123</w:t>
            </w:r>
          </w:p>
        </w:tc>
        <w:tc>
          <w:tcPr/>
          <w:p>
            <w:pPr>
              <w:pStyle w:val="Compact"/>
              <w:jc w:val="left"/>
            </w:pPr>
            <w:r>
              <w:t xml:space="preserve">Box</w:t>
            </w:r>
          </w:p>
        </w:tc>
        <w:tc>
          <w:tcPr/>
          <w:p>
            <w:pPr>
              <w:pStyle w:val="Compact"/>
              <w:jc w:val="left"/>
            </w:pPr>
            <w:r>
              <w:t xml:space="preserve">400</w:t>
            </w:r>
          </w:p>
        </w:tc>
        <w:tc>
          <w:tcPr/>
          <w:p>
            <w:pPr>
              <w:pStyle w:val="Compact"/>
              <w:jc w:val="left"/>
            </w:pPr>
            <w:r>
              <w:t xml:space="preserve">8.75</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Metformin 850mg tablets (Bottle of 60) – DIGEMID Reg. N° 2018-0789</w:t>
            </w:r>
          </w:p>
        </w:tc>
        <w:tc>
          <w:tcPr/>
          <w:p>
            <w:pPr>
              <w:pStyle w:val="Compact"/>
              <w:jc w:val="left"/>
            </w:pPr>
            <w:r>
              <w:t xml:space="preserve">Box</w:t>
            </w:r>
          </w:p>
        </w:tc>
        <w:tc>
          <w:tcPr/>
          <w:p>
            <w:pPr>
              <w:pStyle w:val="Compact"/>
              <w:jc w:val="left"/>
            </w:pPr>
            <w:r>
              <w:t xml:space="preserve">300</w:t>
            </w:r>
          </w:p>
        </w:tc>
        <w:tc>
          <w:tcPr/>
          <w:p>
            <w:pPr>
              <w:pStyle w:val="Compact"/>
              <w:jc w:val="left"/>
            </w:pPr>
            <w:r>
              <w:t xml:space="preserve">14.20</w:t>
            </w:r>
          </w:p>
        </w:tc>
        <w:tc>
          <w:tcPr/>
          <w:p>
            <w:pPr>
              <w:pStyle w:val="Compact"/>
              <w:jc w:val="left"/>
            </w:pPr>
            <w:r>
              <w:t xml:space="preserve">4,260.00</w:t>
            </w:r>
          </w:p>
        </w:tc>
      </w:tr>
      <w:tr>
        <w:tc>
          <w:tcPr/>
          <w:p>
            <w:pPr>
              <w:pStyle w:val="Compact"/>
              <w:jc w:val="left"/>
            </w:pPr>
            <w:r>
              <w:t xml:space="preserve">04</w:t>
            </w:r>
          </w:p>
        </w:tc>
        <w:tc>
          <w:tcPr/>
          <w:p>
            <w:pPr>
              <w:pStyle w:val="Compact"/>
              <w:jc w:val="left"/>
            </w:pPr>
            <w:r>
              <w:t xml:space="preserve">Sterile saline solution 0.9% (500ml IV bags)</w:t>
            </w:r>
          </w:p>
        </w:tc>
        <w:tc>
          <w:tcPr/>
          <w:p>
            <w:pPr>
              <w:pStyle w:val="Compact"/>
              <w:jc w:val="left"/>
            </w:pPr>
            <w:r>
              <w:t xml:space="preserve">Bag</w:t>
            </w:r>
          </w:p>
        </w:tc>
        <w:tc>
          <w:tcPr/>
          <w:p>
            <w:pPr>
              <w:pStyle w:val="Compact"/>
              <w:jc w:val="left"/>
            </w:pPr>
            <w:r>
              <w:t xml:space="preserve">500</w:t>
            </w:r>
          </w:p>
        </w:tc>
        <w:tc>
          <w:tcPr/>
          <w:p>
            <w:pPr>
              <w:pStyle w:val="Compact"/>
              <w:jc w:val="left"/>
            </w:pPr>
            <w:r>
              <w:t xml:space="preserve">6.30</w:t>
            </w:r>
          </w:p>
        </w:tc>
        <w:tc>
          <w:tcPr/>
          <w:p>
            <w:pPr>
              <w:pStyle w:val="Compact"/>
              <w:jc w:val="left"/>
            </w:pPr>
            <w:r>
              <w:t xml:space="preserve">3,150.00</w:t>
            </w:r>
          </w:p>
        </w:tc>
      </w:tr>
      <w:tr>
        <w:tc>
          <w:tcPr/>
          <w:p>
            <w:pPr>
              <w:pStyle w:val="Compact"/>
              <w:jc w:val="left"/>
            </w:pPr>
            <w:r>
              <w:t xml:space="preserve">05</w:t>
            </w:r>
          </w:p>
        </w:tc>
        <w:tc>
          <w:tcPr/>
          <w:p>
            <w:pPr>
              <w:pStyle w:val="Compact"/>
              <w:jc w:val="left"/>
            </w:pPr>
            <w:r>
              <w:t xml:space="preserve">Pharmaceutical compounding balance (0.001g precision, 220g capacity)</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UV-Vis Spectrophotometer for quality control laboratory</w:t>
            </w:r>
          </w:p>
        </w:tc>
        <w:tc>
          <w:tcPr/>
          <w:p>
            <w:pPr>
              <w:pStyle w:val="Compact"/>
              <w:jc w:val="left"/>
            </w:pPr>
            <w:r>
              <w:t xml:space="preserve">Unit</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07</w:t>
            </w:r>
          </w:p>
        </w:tc>
        <w:tc>
          <w:tcPr/>
          <w:p>
            <w:pPr>
              <w:pStyle w:val="Compact"/>
              <w:jc w:val="left"/>
            </w:pPr>
            <w:r>
              <w:t xml:space="preserve">Nitrile examination gloves (Box of 100, size M)</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12.80</w:t>
            </w:r>
          </w:p>
        </w:tc>
        <w:tc>
          <w:tcPr/>
          <w:p>
            <w:pPr>
              <w:pStyle w:val="Compact"/>
              <w:jc w:val="left"/>
            </w:pPr>
            <w:r>
              <w:t xml:space="preserve">2,560.00</w:t>
            </w:r>
          </w:p>
        </w:tc>
      </w:tr>
      <w:tr>
        <w:tc>
          <w:tcPr/>
          <w:p>
            <w:pPr>
              <w:pStyle w:val="Compact"/>
              <w:jc w:val="left"/>
            </w:pPr>
            <w:r>
              <w:t xml:space="preserve">08</w:t>
            </w:r>
          </w:p>
        </w:tc>
        <w:tc>
          <w:tcPr/>
          <w:p>
            <w:pPr>
              <w:pStyle w:val="Compact"/>
              <w:jc w:val="left"/>
            </w:pPr>
            <w:r>
              <w:t xml:space="preserve">Pharmaceutical-grade ethanol 96% (1-liter bottles)</w:t>
            </w:r>
          </w:p>
        </w:tc>
        <w:tc>
          <w:tcPr/>
          <w:p>
            <w:pPr>
              <w:pStyle w:val="Compact"/>
              <w:jc w:val="left"/>
            </w:pPr>
            <w:r>
              <w:t xml:space="preserve">Bottle</w:t>
            </w:r>
          </w:p>
        </w:tc>
        <w:tc>
          <w:tcPr/>
          <w:p>
            <w:pPr>
              <w:pStyle w:val="Compact"/>
              <w:jc w:val="left"/>
            </w:pPr>
            <w:r>
              <w:t xml:space="preserve">150</w:t>
            </w:r>
          </w:p>
        </w:tc>
        <w:tc>
          <w:tcPr/>
          <w:p>
            <w:pPr>
              <w:pStyle w:val="Compact"/>
              <w:jc w:val="left"/>
            </w:pPr>
            <w:r>
              <w:t xml:space="preserve">9.40</w:t>
            </w:r>
          </w:p>
        </w:tc>
        <w:tc>
          <w:tcPr/>
          <w:p>
            <w:pPr>
              <w:pStyle w:val="Compact"/>
              <w:jc w:val="left"/>
            </w:pPr>
            <w:r>
              <w:t xml:space="preserve">1,410.00</w:t>
            </w:r>
          </w:p>
        </w:tc>
      </w:tr>
      <w:tr>
        <w:tc>
          <w:tcPr/>
          <w:p>
            <w:pPr>
              <w:pStyle w:val="Compact"/>
              <w:jc w:val="left"/>
            </w:pPr>
            <w:r>
              <w:t xml:space="preserve">09</w:t>
            </w:r>
          </w:p>
        </w:tc>
        <w:tc>
          <w:tcPr/>
          <w:p>
            <w:pPr>
              <w:pStyle w:val="Compact"/>
              <w:jc w:val="left"/>
            </w:pPr>
            <w:r>
              <w:t xml:space="preserve">Refrigerated pharmaceutical storage unit (2-8°C, 450L capacity)</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10</w:t>
            </w:r>
          </w:p>
        </w:tc>
        <w:tc>
          <w:tcPr/>
          <w:p>
            <w:pPr>
              <w:pStyle w:val="Compact"/>
              <w:jc w:val="left"/>
            </w:pPr>
            <w:r>
              <w:t xml:space="preserve">Digital temperature and humidity monitoring system (for cold chain compliance)</w:t>
            </w:r>
          </w:p>
        </w:tc>
        <w:tc>
          <w:tcPr/>
          <w:p>
            <w:pPr>
              <w:pStyle w:val="Compact"/>
              <w:jc w:val="left"/>
            </w:pPr>
            <w:r>
              <w:t xml:space="preserve">Set</w:t>
            </w:r>
          </w:p>
        </w:tc>
        <w:tc>
          <w:tcPr/>
          <w:p>
            <w:pPr>
              <w:pStyle w:val="Compact"/>
              <w:jc w:val="left"/>
            </w:pPr>
            <w:r>
              <w:t xml:space="preserve">3</w:t>
            </w:r>
          </w:p>
        </w:tc>
        <w:tc>
          <w:tcPr/>
          <w:p>
            <w:pPr>
              <w:pStyle w:val="Compact"/>
              <w:jc w:val="left"/>
            </w:pPr>
            <w:r>
              <w:t xml:space="preserve">2,350.00</w:t>
            </w:r>
          </w:p>
        </w:tc>
        <w:tc>
          <w:tcPr/>
          <w:p>
            <w:pPr>
              <w:pStyle w:val="Compact"/>
              <w:jc w:val="left"/>
            </w:pPr>
            <w:r>
              <w:t xml:space="preserve">7,050.00</w:t>
            </w:r>
          </w:p>
        </w:tc>
      </w:tr>
      <w:tr>
        <w:tc>
          <w:tcPr>
            <w:gridSpan w:val="5"/>
          </w:tcPr>
          <w:p>
            <w:pPr>
              <w:pStyle w:val="Compact"/>
              <w:jc w:val="right"/>
            </w:pPr>
            <w:r>
              <w:t xml:space="preserve">SUBTOTAL</w:t>
            </w:r>
          </w:p>
        </w:tc>
        <w:tc>
          <w:tcPr/>
          <w:p>
            <w:pPr>
              <w:pStyle w:val="Compact"/>
              <w:jc w:val="left"/>
            </w:pPr>
            <w:r>
              <w:t xml:space="preserve">51,255.00</w:t>
            </w:r>
          </w:p>
        </w:tc>
      </w:tr>
      <w:tr>
        <w:tc>
          <w:tcPr>
            <w:gridSpan w:val="5"/>
          </w:tcPr>
          <w:p>
            <w:pPr>
              <w:pStyle w:val="Compact"/>
              <w:jc w:val="right"/>
            </w:pPr>
            <w:r>
              <w:t xml:space="preserve">IGV (18% VAT – Peru)</w:t>
            </w:r>
          </w:p>
        </w:tc>
        <w:tc>
          <w:tcPr/>
          <w:p>
            <w:pPr>
              <w:pStyle w:val="Compact"/>
              <w:jc w:val="left"/>
            </w:pPr>
            <w:r>
              <w:t xml:space="preserve">9,225.90</w:t>
            </w:r>
          </w:p>
        </w:tc>
      </w:tr>
      <w:tr>
        <w:tc>
          <w:tcPr>
            <w:gridSpan w:val="5"/>
          </w:tcPr>
          <w:p>
            <w:pPr>
              <w:pStyle w:val="Compact"/>
              <w:jc w:val="right"/>
            </w:pPr>
            <w:r>
              <w:t xml:space="preserve">TOTAL PURCHASE ORDER AMOUNT (S/)</w:t>
            </w:r>
          </w:p>
        </w:tc>
        <w:tc>
          <w:tcPr/>
          <w:p>
            <w:pPr>
              <w:pStyle w:val="Compact"/>
              <w:jc w:val="left"/>
            </w:pPr>
            <w:r>
              <w:t xml:space="preserve">60,480.90</w:t>
            </w:r>
          </w:p>
        </w:tc>
      </w:tr>
    </w:tbl>
    <w:bookmarkEnd w:id="25"/>
    <w:bookmarkStart w:id="26" w:name="delivery-and-logistics-terms"/>
    <w:p>
      <w:pPr>
        <w:pStyle w:val="Heading2"/>
      </w:pPr>
      <w:r>
        <w:t xml:space="preserve">4. Delivery and Logistics Terms</w:t>
      </w:r>
    </w:p>
    <w:p>
      <w:pPr>
        <w:pStyle w:val="FirstParagraph"/>
      </w:pPr>
      <w:r>
        <w:t xml:space="preserve">All items specified in this Purchase Order shall be delivered to the receiving warehouse of Farmacia Central del Pacífico S.A.C., located at Av. Javier Prado Este 1245, San Isidro,</w:t>
      </w:r>
      <w:r>
        <w:t xml:space="preserve"> </w:t>
      </w:r>
      <w:r>
        <w:rPr>
          <w:bCs/>
          <w:b/>
        </w:rPr>
        <w:t xml:space="preserve">Peru Lima</w:t>
      </w:r>
      <w:r>
        <w:t xml:space="preserve">, within fifteen (15) calendar days from the date of this Purchase Order. The Pharmacist, Dr. Quispe Rojas, will personally inspect and verify the integrity, expiration dates, and regulatory compliance of all pharmaceutical products upon arrival. Cold-chain items (Items 04, 09, and 10) must be transported in temperature-controlled vehicles certified by the Peruvian health authority. The supplier bears full responsibility for any damage or temperature excursion occurring during transit within the Lima metropolitan area.</w:t>
      </w:r>
    </w:p>
    <w:bookmarkEnd w:id="26"/>
    <w:bookmarkStart w:id="27" w:name="payment-terms-and-conditions"/>
    <w:p>
      <w:pPr>
        <w:pStyle w:val="Heading2"/>
      </w:pPr>
      <w:r>
        <w:t xml:space="preserve">5. Payment Terms and Conditions</w:t>
      </w:r>
    </w:p>
    <w:p>
      <w:pPr>
        <w:pStyle w:val="FirstParagraph"/>
      </w:pPr>
      <w:r>
        <w:t xml:space="preserve">Payment for this Purchase Order shall be made via bank transfer (transferencia bancaria) to the supplier's account within thirty (30) days from the date of confirmed receipt and acceptance of all goods by the Pharmacist. The payment will be processed through the corporate banking account of Farmacia Central del Pacífico S.A.C. at Banco de Crédito del Perú (BCP), Account N° 191-12345678-0-19. A formal invoice (Factura Electrónica) compliant with SUNAT (Superintendencia Nacional de Administración Tributaria) electronic invoicing regulations in</w:t>
      </w:r>
      <w:r>
        <w:t xml:space="preserve"> </w:t>
      </w:r>
      <w:r>
        <w:rPr>
          <w:bCs/>
          <w:b/>
        </w:rPr>
        <w:t xml:space="preserve">Peru Lima</w:t>
      </w:r>
      <w:r>
        <w:t xml:space="preserve"> </w:t>
      </w:r>
      <w:r>
        <w:t xml:space="preserve">must accompany the delivery. Late payments shall accrue interest at the rate established by the Central Reserve Bank of Peru (BCRP).</w:t>
      </w:r>
    </w:p>
    <w:bookmarkEnd w:id="27"/>
    <w:bookmarkStart w:id="28" w:name="X2d999f25d6de3b4c254122cbf241e7ca67d840f"/>
    <w:p>
      <w:pPr>
        <w:pStyle w:val="Heading2"/>
      </w:pPr>
      <w:r>
        <w:t xml:space="preserve">6. Regulatory Compliance and Pharmacist Certification</w:t>
      </w:r>
    </w:p>
    <w:p>
      <w:pPr>
        <w:pStyle w:val="FirstParagraph"/>
      </w:pPr>
      <w:r>
        <w:t xml:space="preserve">The Pharmacist overseeing the receipt and storage of all products under this Purchase Order holds a valid professional license issued by the Colegio de Farmacéuticos del Perú and is registered with the Ministry of Health of Peru. All pharmaceutical products must carry valid DIGEMID registration numbers and must not be expired at the time of delivery. The Pharmacist reserves the right to reject any shipment that does not meet the quality, labeling, or regulatory requirements established under Peruvian pharmaceutical law. The supplier warrants that all products are manufactured in facilities compliant with GMP standards and that all necessary import permits (where applicable) have been obtained from the relevant Peruvian authorities in</w:t>
      </w:r>
      <w:r>
        <w:t xml:space="preserve"> </w:t>
      </w:r>
      <w:r>
        <w:rPr>
          <w:bCs/>
          <w:b/>
        </w:rPr>
        <w:t xml:space="preserve">Peru Lima</w:t>
      </w:r>
      <w:r>
        <w:t xml:space="preserve">.</w:t>
      </w:r>
    </w:p>
    <w:bookmarkEnd w:id="28"/>
    <w:bookmarkStart w:id="29" w:name="validity-and-cancellation"/>
    <w:p>
      <w:pPr>
        <w:pStyle w:val="Heading2"/>
      </w:pPr>
      <w:r>
        <w:t xml:space="preserve">7. Validity and Cancellation</w:t>
      </w:r>
    </w:p>
    <w:p>
      <w:pPr>
        <w:pStyle w:val="FirstParagraph"/>
      </w:pPr>
      <w:r>
        <w:t xml:space="preserve">This Purchase Order is valid for a period of thirty (30) days from the date of issue. Either party may cancel this Purchase Order in writing with a minimum of seven (7) days' prior notice. In the event of cancellation after partial delivery, the buyer shall be obligated to pay for all items already delivered and accepted. This document constitutes a binding commercial agreement between the parties under the Peruvian Civil Code and the Commercial Code of the Republic of Peru.</w:t>
      </w:r>
    </w:p>
    <w:bookmarkEnd w:id="29"/>
    <w:p>
      <w:pPr>
        <w:pStyle w:val="BodyText"/>
      </w:pPr>
      <w:r>
        <w:rPr>
          <w:bCs/>
          <w:b/>
        </w:rPr>
        <w:t xml:space="preserve">Prepared by (Buyer)</w:t>
      </w:r>
      <w:r>
        <w:br/>
      </w:r>
      <w:r>
        <w:t xml:space="preserve">Carlos Mendoza Huamán</w:t>
      </w:r>
      <w:r>
        <w:br/>
      </w:r>
      <w:r>
        <w:t xml:space="preserve">Procurement Manager</w:t>
      </w:r>
      <w:r>
        <w:br/>
      </w:r>
      <w:r>
        <w:t xml:space="preserve">Farmacia Central del Pacífico S.A.C.</w:t>
      </w:r>
    </w:p>
    <w:p>
      <w:pPr>
        <w:pStyle w:val="BodyText"/>
      </w:pPr>
      <w:r>
        <w:rPr>
          <w:bCs/>
          <w:b/>
        </w:rPr>
        <w:t xml:space="preserve">Authorized Pharmacist</w:t>
      </w:r>
      <w:r>
        <w:br/>
      </w:r>
      <w:r>
        <w:t xml:space="preserve">Dr. María Elena Quispe Rojas</w:t>
      </w:r>
      <w:r>
        <w:br/>
      </w:r>
      <w:r>
        <w:t xml:space="preserve">Colegiado N° 45892</w:t>
      </w:r>
      <w:r>
        <w:br/>
      </w:r>
      <w:r>
        <w:t xml:space="preserve">Colegio de Farmacéuticos del Perú</w:t>
      </w:r>
    </w:p>
    <w:p>
      <w:pPr>
        <w:pStyle w:val="BodyText"/>
      </w:pPr>
      <w:r>
        <w:rPr>
          <w:bCs/>
          <w:b/>
        </w:rPr>
        <w:t xml:space="preserve">Accepted by (Supplier)</w:t>
      </w:r>
      <w:r>
        <w:br/>
      </w:r>
      <w:r>
        <w:t xml:space="preserve">Jorge Ramírez Torres</w:t>
      </w:r>
      <w:r>
        <w:br/>
      </w:r>
      <w:r>
        <w:t xml:space="preserve">Commercial Director</w:t>
      </w:r>
      <w:r>
        <w:br/>
      </w:r>
      <w:r>
        <w:t xml:space="preserve">Distribuidora Farmacéutica Andina S.R.L.</w:t>
      </w:r>
    </w:p>
    <w:p>
      <w:pPr>
        <w:pStyle w:val="BodyText"/>
      </w:pPr>
      <w:r>
        <w:rPr>
          <w:bCs/>
          <w:b/>
        </w:rPr>
        <w:t xml:space="preserve">Legal Review</w:t>
      </w:r>
      <w:r>
        <w:br/>
      </w:r>
      <w:r>
        <w:t xml:space="preserve">Abog. Patricia Salinas Vega</w:t>
      </w:r>
      <w:r>
        <w:br/>
      </w:r>
      <w:r>
        <w:t xml:space="preserve">Legal Counsel</w:t>
      </w:r>
      <w:r>
        <w:br/>
      </w:r>
      <w:r>
        <w:t xml:space="preserve">Lima, Peru</w:t>
      </w:r>
    </w:p>
    <w:p>
      <w:pPr>
        <w:pStyle w:val="BodyText"/>
      </w:pPr>
      <w:r>
        <w:rPr>
          <w:bCs/>
          <w:b/>
        </w:rPr>
        <w:t xml:space="preserve">Purchase Order PO-2025-LIM-04782</w:t>
      </w:r>
      <w:r>
        <w:t xml:space="preserve"> </w:t>
      </w:r>
      <w:r>
        <w:t xml:space="preserve">| Issued in Lima, Peru | This document is governed by the laws of the Republic of Peru.</w:t>
      </w:r>
    </w:p>
    <w:p>
      <w:pPr>
        <w:pStyle w:val="BodyText"/>
      </w:pPr>
      <w:r>
        <w:t xml:space="preserve">For questions regarding this Purchase Order, contact the Procurement Department at compras@farmaciacentralperu.com or +51 1 4567 890, Av. Javier Prado Este 1245, San Isidro, Lima, Peru.</w:t>
      </w:r>
    </w:p>
    <w:p>
      <w:pPr>
        <w:pStyle w:val="BodyText"/>
      </w:pPr>
      <w:r>
        <w:t xml:space="preserve">Document generated in compliance with DIGEMID, MINSA, and SUNAT regulations. All pharmaceutical references are subject to current Peruvian regulatory status.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Peru Lima</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