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Philippines</w:t>
      </w:r>
      <w:r>
        <w:t xml:space="preserve"> </w:t>
      </w:r>
      <w:r>
        <w:t xml:space="preserve">Manila</w:t>
      </w:r>
    </w:p>
    <w:p>
      <w:pPr>
        <w:pStyle w:val="FirstParagraph"/>
      </w:pPr>
      <w:r>
        <w:t xml:space="preserve">MEDIPHARM ALLIANCE PHARMACEUTICALS, INC.</w:t>
      </w:r>
    </w:p>
    <w:p>
      <w:pPr>
        <w:pStyle w:val="BodyText"/>
      </w:pPr>
      <w:r>
        <w:t xml:space="preserve">A Registered Pharmaceutical Distribution and Staffing Company</w:t>
      </w:r>
    </w:p>
    <w:p>
      <w:pPr>
        <w:pStyle w:val="BodyText"/>
      </w:pPr>
      <w:r>
        <w:t xml:space="preserve">128 Ayala Avenue, Makati City, Metro Manila, Philippines 1226</w:t>
      </w:r>
    </w:p>
    <w:p>
      <w:pPr>
        <w:pStyle w:val="BodyText"/>
      </w:pPr>
      <w:r>
        <w:t xml:space="preserve">Tel: (+63) 2-8887-4521 | Email: procurement@medipharmanl.com.ph</w:t>
      </w:r>
    </w:p>
    <w:p>
      <w:pPr>
        <w:pStyle w:val="BodyText"/>
      </w:pPr>
      <w:r>
        <w:t xml:space="preserve">DTI Registration No. CS2019-12345678 | BIR TIN: 000-123-456-789</w:t>
      </w:r>
    </w:p>
    <w:bookmarkStart w:id="20" w:name="purchase-order"/>
    <w:p>
      <w:pPr>
        <w:pStyle w:val="Heading1"/>
      </w:pPr>
      <w:r>
        <w:t xml:space="preserve">PURCHASE ORDER</w:t>
      </w:r>
    </w:p>
    <w:p>
      <w:pPr>
        <w:pStyle w:val="FirstParagraph"/>
      </w:pPr>
      <w:r>
        <w:t xml:space="preserve">Procurement of Licensed Pharmacist Professional Services</w:t>
      </w:r>
    </w:p>
    <w:bookmarkEnd w:id="20"/>
    <w:p>
      <w:pPr>
        <w:pStyle w:val="BodyText"/>
      </w:pPr>
      <w:r>
        <w:t xml:space="preserve">Purchase Order No.: PO-2025-0714-PHARM-003</w:t>
      </w:r>
      <w:r>
        <w:br/>
      </w:r>
      <w:r>
        <w:t xml:space="preserve">Date of Issue: July 14, 2025</w:t>
      </w:r>
      <w:r>
        <w:br/>
      </w:r>
      <w:r>
        <w:t xml:space="preserve">Valid Until: August 14, 2025</w:t>
      </w:r>
    </w:p>
    <w:bookmarkStart w:id="21" w:name="buyer-requisitioning-department"/>
    <w:p>
      <w:pPr>
        <w:pStyle w:val="Heading3"/>
      </w:pPr>
      <w:r>
        <w:t xml:space="preserve">BUYER (Requisitioning Department)</w:t>
      </w:r>
    </w:p>
    <w:p>
      <w:pPr>
        <w:pStyle w:val="FirstParagraph"/>
      </w:pPr>
      <w:r>
        <w:rPr>
          <w:bCs/>
          <w:b/>
        </w:rPr>
        <w:t xml:space="preserve">Company:</w:t>
      </w:r>
      <w:r>
        <w:t xml:space="preserve"> </w:t>
      </w:r>
      <w:r>
        <w:t xml:space="preserve">Medipham Alliance Pharmaceuticals, Inc.</w:t>
      </w:r>
    </w:p>
    <w:p>
      <w:pPr>
        <w:pStyle w:val="BodyText"/>
      </w:pPr>
      <w:r>
        <w:rPr>
          <w:bCs/>
          <w:b/>
        </w:rPr>
        <w:t xml:space="preserve">Department:</w:t>
      </w:r>
      <w:r>
        <w:t xml:space="preserve"> </w:t>
      </w:r>
      <w:r>
        <w:t xml:space="preserve">Clinical Operations &amp; Pharmacy Services Division</w:t>
      </w:r>
    </w:p>
    <w:p>
      <w:pPr>
        <w:pStyle w:val="BodyText"/>
      </w:pPr>
      <w:r>
        <w:rPr>
          <w:bCs/>
          <w:b/>
        </w:rPr>
        <w:t xml:space="preserve">Address:</w:t>
      </w:r>
      <w:r>
        <w:t xml:space="preserve"> </w:t>
      </w:r>
      <w:r>
        <w:t xml:space="preserve">128 Ayala Avenue, Makati City, Metro Manila, Philippines</w:t>
      </w:r>
    </w:p>
    <w:p>
      <w:pPr>
        <w:pStyle w:val="BodyText"/>
      </w:pPr>
      <w:r>
        <w:rPr>
          <w:bCs/>
          <w:b/>
        </w:rPr>
        <w:t xml:space="preserve">Contact Person:</w:t>
      </w:r>
      <w:r>
        <w:t xml:space="preserve"> </w:t>
      </w:r>
      <w:r>
        <w:t xml:space="preserve">Dr. Maria Santos-Lim, Head of Pharmacy Operations</w:t>
      </w:r>
    </w:p>
    <w:p>
      <w:pPr>
        <w:pStyle w:val="BodyText"/>
      </w:pPr>
      <w:r>
        <w:rPr>
          <w:bCs/>
          <w:b/>
        </w:rPr>
        <w:t xml:space="preserve">Email:</w:t>
      </w:r>
      <w:r>
        <w:t xml:space="preserve"> </w:t>
      </w:r>
      <w:r>
        <w:t xml:space="preserve">m.santoslim@medipharmanl.com.ph</w:t>
      </w:r>
    </w:p>
    <w:p>
      <w:pPr>
        <w:pStyle w:val="BodyText"/>
      </w:pPr>
      <w:r>
        <w:rPr>
          <w:bCs/>
          <w:b/>
        </w:rPr>
        <w:t xml:space="preserve">Phone:</w:t>
      </w:r>
      <w:r>
        <w:t xml:space="preserve"> </w:t>
      </w:r>
      <w:r>
        <w:t xml:space="preserve">(+63) 917-555-0142</w:t>
      </w:r>
    </w:p>
    <w:bookmarkEnd w:id="21"/>
    <w:bookmarkStart w:id="22" w:name="seller-service-provider"/>
    <w:p>
      <w:pPr>
        <w:pStyle w:val="Heading3"/>
      </w:pPr>
      <w:r>
        <w:t xml:space="preserve">SELLER / SERVICE PROVIDER</w:t>
      </w:r>
    </w:p>
    <w:p>
      <w:pPr>
        <w:pStyle w:val="FirstParagraph"/>
      </w:pPr>
      <w:r>
        <w:rPr>
          <w:bCs/>
          <w:b/>
        </w:rPr>
        <w:t xml:space="preserve">Company:</w:t>
      </w:r>
      <w:r>
        <w:t xml:space="preserve"> </w:t>
      </w:r>
      <w:r>
        <w:t xml:space="preserve">Manila Health Professionals Staffing Corp.</w:t>
      </w:r>
    </w:p>
    <w:p>
      <w:pPr>
        <w:pStyle w:val="BodyText"/>
      </w:pPr>
      <w:r>
        <w:rPr>
          <w:bCs/>
          <w:b/>
        </w:rPr>
        <w:t xml:space="preserve">Address:</w:t>
      </w:r>
      <w:r>
        <w:t xml:space="preserve"> </w:t>
      </w:r>
      <w:r>
        <w:t xml:space="preserve">45 Bonifacio Drive, BGC, Taguig City, Metro Manila, Philippines</w:t>
      </w:r>
    </w:p>
    <w:p>
      <w:pPr>
        <w:pStyle w:val="BodyText"/>
      </w:pPr>
      <w:r>
        <w:rPr>
          <w:bCs/>
          <w:b/>
        </w:rPr>
        <w:t xml:space="preserve">Contact Person:</w:t>
      </w:r>
      <w:r>
        <w:t xml:space="preserve"> </w:t>
      </w:r>
      <w:r>
        <w:t xml:space="preserve">Engr. Rafael D. Cruz, Director of Personnel Placement</w:t>
      </w:r>
    </w:p>
    <w:p>
      <w:pPr>
        <w:pStyle w:val="BodyText"/>
      </w:pPr>
      <w:r>
        <w:rPr>
          <w:bCs/>
          <w:b/>
        </w:rPr>
        <w:t xml:space="preserve">Email:</w:t>
      </w:r>
      <w:r>
        <w:t xml:space="preserve"> </w:t>
      </w:r>
      <w:r>
        <w:t xml:space="preserve">r.cruz@manilahps.com.ph</w:t>
      </w:r>
    </w:p>
    <w:p>
      <w:pPr>
        <w:pStyle w:val="BodyText"/>
      </w:pPr>
      <w:r>
        <w:rPr>
          <w:bCs/>
          <w:b/>
        </w:rPr>
        <w:t xml:space="preserve">Phone:</w:t>
      </w:r>
      <w:r>
        <w:t xml:space="preserve"> </w:t>
      </w:r>
      <w:r>
        <w:t xml:space="preserve">(+63) 928-444-7789</w:t>
      </w:r>
    </w:p>
    <w:p>
      <w:pPr>
        <w:pStyle w:val="BodyText"/>
      </w:pPr>
      <w:r>
        <w:rPr>
          <w:bCs/>
          <w:b/>
        </w:rPr>
        <w:t xml:space="preserve">BIR TIN:</w:t>
      </w:r>
      <w:r>
        <w:t xml:space="preserve"> </w:t>
      </w:r>
      <w:r>
        <w:t xml:space="preserve">000-987-654-321</w:t>
      </w:r>
    </w:p>
    <w:bookmarkEnd w:id="22"/>
    <w:p>
      <w:pPr>
        <w:pStyle w:val="BodyText"/>
      </w:pPr>
      <w:r>
        <w:t xml:space="preserve">I. DESCRIPTION OF PURCHASE</w:t>
      </w:r>
    </w:p>
    <w:p>
      <w:pPr>
        <w:pStyle w:val="BodyText"/>
      </w:pPr>
      <w:r>
        <w:t xml:space="preserve">This</w:t>
      </w:r>
      <w:r>
        <w:t xml:space="preserve"> </w:t>
      </w:r>
      <w:r>
        <w:t xml:space="preserve">Purchase Order</w:t>
      </w:r>
      <w:r>
        <w:t xml:space="preserve"> </w:t>
      </w:r>
      <w:r>
        <w:t xml:space="preserve">is issued by Medipham Alliance Pharmaceuticals, Inc. for the procurement and engagement of a fully licensed</w:t>
      </w:r>
      <w:r>
        <w:t xml:space="preserve"> </w:t>
      </w:r>
      <w:r>
        <w:t xml:space="preserve">Pharmacist</w:t>
      </w:r>
      <w:r>
        <w:t xml:space="preserve"> </w:t>
      </w:r>
      <w:r>
        <w:t xml:space="preserve">to provide professional pharmaceutical services at our primary clinic and distribution facility located in the heart of</w:t>
      </w:r>
      <w:r>
        <w:t xml:space="preserve"> </w:t>
      </w:r>
      <w:r>
        <w:t xml:space="preserve">Philippines Manila</w:t>
      </w:r>
      <w:r>
        <w:t xml:space="preserve">, specifically at our headquarters on Ayala Avenue, Makati City, Metro Manila. The</w:t>
      </w:r>
      <w:r>
        <w:t xml:space="preserve"> </w:t>
      </w:r>
      <w:r>
        <w:t xml:space="preserve">Pharmacist</w:t>
      </w:r>
      <w:r>
        <w:t xml:space="preserve"> </w:t>
      </w:r>
      <w:r>
        <w:t xml:space="preserve">shall be responsible for the dispensing of prescription medications, management of the in-house pharmacy inventory, patient counseling on drug interactions and proper usage, compliance with the Food and Drug Administration of the Philippines (FDA Philippines) regulations, and oversight of all pharmaceutical operations within the facility. This</w:t>
      </w:r>
      <w:r>
        <w:t xml:space="preserve"> </w:t>
      </w:r>
      <w:r>
        <w:t xml:space="preserve">Purchase Order</w:t>
      </w:r>
      <w:r>
        <w:t xml:space="preserve"> </w:t>
      </w:r>
      <w:r>
        <w:t xml:space="preserve">covers a twelve (12) month engagement period commencing September 1, 2025, and terminating on August 31, 2026, subject to renewal upon mutual written agreement of both parties.</w:t>
      </w:r>
    </w:p>
    <w:p>
      <w:pPr>
        <w:pStyle w:val="BodyText"/>
      </w:pPr>
      <w:r>
        <w:t xml:space="preserve">II. LINE ITEMS AND COST BREAKDOWN</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(PHP)</w:t>
            </w:r>
          </w:p>
        </w:tc>
        <w:tc>
          <w:tcPr/>
          <w:p>
            <w:pPr>
              <w:pStyle w:val="Compact"/>
              <w:jc w:val="left"/>
            </w:pPr>
            <w:r>
              <w:t xml:space="preserve">Total Amount (PHP)</w:t>
            </w:r>
          </w:p>
        </w:tc>
        <w:tc>
          <w:tcPr/>
          <w:p>
            <w:pPr>
              <w:pStyle w:val="Compact"/>
              <w:jc w:val="left"/>
            </w:pPr>
            <w:r>
              <w:t xml:space="preserve">Delivery / Start</w:t>
            </w:r>
          </w:p>
        </w:tc>
      </w:tr>
      <w:tr>
        <w:tc>
          <w:tcPr/>
          <w:p>
            <w:pPr>
              <w:pStyle w:val="Compact"/>
              <w:jc w:val="left"/>
            </w:pPr>
            <w:r>
              <w:t xml:space="preserve">1</w:t>
            </w:r>
          </w:p>
        </w:tc>
        <w:tc>
          <w:tcPr/>
          <w:p>
            <w:pPr>
              <w:pStyle w:val="Compact"/>
              <w:jc w:val="left"/>
            </w:pPr>
            <w:r>
              <w:t xml:space="preserve">Licensed Pharmacist Professional Services – Full-time engagement (8 hours/day, 5 days/week) at Philippines Manila facility. Includes prescription dispensing, inventory management, patient counseling, and regulatory compliance oversight.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85,000.00</w:t>
            </w:r>
          </w:p>
        </w:tc>
        <w:tc>
          <w:tcPr/>
          <w:p>
            <w:pPr>
              <w:pStyle w:val="Compact"/>
              <w:jc w:val="left"/>
            </w:pPr>
            <w:r>
              <w:t xml:space="preserve">1,020,000.00</w:t>
            </w:r>
          </w:p>
        </w:tc>
        <w:tc>
          <w:tcPr/>
          <w:p>
            <w:pPr>
              <w:pStyle w:val="Compact"/>
              <w:jc w:val="left"/>
            </w:pPr>
            <w:r>
              <w:t xml:space="preserve">Sep 1, 2025</w:t>
            </w:r>
          </w:p>
        </w:tc>
      </w:tr>
      <w:tr>
        <w:tc>
          <w:tcPr/>
          <w:p>
            <w:pPr>
              <w:pStyle w:val="Compact"/>
              <w:jc w:val="left"/>
            </w:pPr>
            <w:r>
              <w:t xml:space="preserve">2</w:t>
            </w:r>
          </w:p>
        </w:tc>
        <w:tc>
          <w:tcPr/>
          <w:p>
            <w:pPr>
              <w:pStyle w:val="Compact"/>
              <w:jc w:val="left"/>
            </w:pPr>
            <w:r>
              <w:t xml:space="preserve">Pharmacist Professional Liability Insurance – Annual coverage as required by the Philippine Board of Pharmacy and the Insurance Commission of the Philippines.</w:t>
            </w:r>
          </w:p>
        </w:tc>
        <w:tc>
          <w:tcPr/>
          <w:p>
            <w:pPr>
              <w:pStyle w:val="Compact"/>
              <w:jc w:val="left"/>
            </w:pPr>
            <w:r>
              <w:t xml:space="preserve">1</w:t>
            </w:r>
          </w:p>
        </w:tc>
        <w:tc>
          <w:tcPr/>
          <w:p>
            <w:pPr>
              <w:pStyle w:val="Compact"/>
              <w:jc w:val="left"/>
            </w:pPr>
            <w:r>
              <w:t xml:space="preserve">Policy</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Sep 1, 2025</w:t>
            </w:r>
          </w:p>
        </w:tc>
      </w:tr>
      <w:tr>
        <w:tc>
          <w:tcPr/>
          <w:p>
            <w:pPr>
              <w:pStyle w:val="Compact"/>
              <w:jc w:val="left"/>
            </w:pPr>
            <w:r>
              <w:t xml:space="preserve">3</w:t>
            </w:r>
          </w:p>
        </w:tc>
        <w:tc>
          <w:tcPr/>
          <w:p>
            <w:pPr>
              <w:pStyle w:val="Compact"/>
              <w:jc w:val="left"/>
            </w:pPr>
            <w:r>
              <w:t xml:space="preserve">Pharmacist Continuing Professional Development (CPD) Program – Annual enrollment in accredited CPD courses recognized by the Philippine Association of Pharmacies (PharmAssn) and the Philippine Board of Pharmacy.</w:t>
            </w:r>
          </w:p>
        </w:tc>
        <w:tc>
          <w:tcPr/>
          <w:p>
            <w:pPr>
              <w:pStyle w:val="Compact"/>
              <w:jc w:val="left"/>
            </w:pPr>
            <w:r>
              <w:t xml:space="preserve">1</w:t>
            </w:r>
          </w:p>
        </w:tc>
        <w:tc>
          <w:tcPr/>
          <w:p>
            <w:pPr>
              <w:pStyle w:val="Compact"/>
              <w:jc w:val="left"/>
            </w:pPr>
            <w:r>
              <w:t xml:space="preserve">Enrollment</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Sep 1, 2025</w:t>
            </w:r>
          </w:p>
        </w:tc>
      </w:tr>
      <w:tr>
        <w:tc>
          <w:tcPr/>
          <w:p>
            <w:pPr>
              <w:pStyle w:val="Compact"/>
              <w:jc w:val="left"/>
            </w:pPr>
            <w:r>
              <w:t xml:space="preserve">4</w:t>
            </w:r>
          </w:p>
        </w:tc>
        <w:tc>
          <w:tcPr/>
          <w:p>
            <w:pPr>
              <w:pStyle w:val="Compact"/>
              <w:jc w:val="left"/>
            </w:pPr>
            <w:r>
              <w:t xml:space="preserve">Pharmacist Uniform, Identification Badge, and Personal Protective Equipment (PPE) – Compliant with Metro Manila Occupational Safety and Health Standards.</w:t>
            </w:r>
          </w:p>
        </w:tc>
        <w:tc>
          <w:tcPr/>
          <w:p>
            <w:pPr>
              <w:pStyle w:val="Compact"/>
              <w:jc w:val="left"/>
            </w:pPr>
            <w:r>
              <w:t xml:space="preserve">1</w:t>
            </w:r>
          </w:p>
        </w:tc>
        <w:tc>
          <w:tcPr/>
          <w:p>
            <w:pPr>
              <w:pStyle w:val="Compact"/>
              <w:jc w:val="left"/>
            </w:pPr>
            <w:r>
              <w:t xml:space="preserve">Set</w:t>
            </w:r>
          </w:p>
        </w:tc>
        <w:tc>
          <w:tcPr/>
          <w:p>
            <w:pPr>
              <w:pStyle w:val="Compact"/>
              <w:jc w:val="left"/>
            </w:pPr>
            <w:r>
              <w:t xml:space="preserve">8,200.00</w:t>
            </w:r>
          </w:p>
        </w:tc>
        <w:tc>
          <w:tcPr/>
          <w:p>
            <w:pPr>
              <w:pStyle w:val="Compact"/>
              <w:jc w:val="left"/>
            </w:pPr>
            <w:r>
              <w:t xml:space="preserve">8,200.00</w:t>
            </w:r>
          </w:p>
        </w:tc>
        <w:tc>
          <w:tcPr/>
          <w:p>
            <w:pPr>
              <w:pStyle w:val="Compact"/>
              <w:jc w:val="left"/>
            </w:pPr>
            <w:r>
              <w:t xml:space="preserve">Sep 1, 2025</w:t>
            </w:r>
          </w:p>
        </w:tc>
      </w:tr>
      <w:tr>
        <w:tc>
          <w:tcPr/>
          <w:p>
            <w:pPr>
              <w:pStyle w:val="Compact"/>
              <w:jc w:val="left"/>
            </w:pPr>
            <w:r>
              <w:t xml:space="preserve">5</w:t>
            </w:r>
          </w:p>
        </w:tc>
        <w:tc>
          <w:tcPr/>
          <w:p>
            <w:pPr>
              <w:pStyle w:val="Compact"/>
              <w:jc w:val="left"/>
            </w:pPr>
            <w:r>
              <w:t xml:space="preserve">Pharmacist Onboarding and Facility Orientation – Comprehensive training on Medipham Alliance systems, Philippines Manila regulatory protocols, and internal SOPs.</w:t>
            </w:r>
          </w:p>
        </w:tc>
        <w:tc>
          <w:tcPr/>
          <w:p>
            <w:pPr>
              <w:pStyle w:val="Compact"/>
              <w:jc w:val="left"/>
            </w:pPr>
            <w:r>
              <w:t xml:space="preserve">1</w:t>
            </w:r>
          </w:p>
        </w:tc>
        <w:tc>
          <w:tcPr/>
          <w:p>
            <w:pPr>
              <w:pStyle w:val="Compact"/>
              <w:jc w:val="left"/>
            </w:pPr>
            <w:r>
              <w:t xml:space="preserve">Session</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Sep 1, 2025</w:t>
            </w:r>
          </w:p>
        </w:tc>
      </w:tr>
      <w:tr>
        <w:tc>
          <w:tcPr/>
          <w:p>
            <w:pPr>
              <w:pStyle w:val="Compact"/>
              <w:jc w:val="left"/>
            </w:pPr>
            <w:r>
              <w:t xml:space="preserve">6</w:t>
            </w:r>
          </w:p>
        </w:tc>
        <w:tc>
          <w:tcPr/>
          <w:p>
            <w:pPr>
              <w:pStyle w:val="Compact"/>
              <w:jc w:val="left"/>
            </w:pPr>
            <w:r>
              <w:t xml:space="preserve">Pharmacist Performance Evaluation and Annual Credential Verification – Conducted by the Philippine Board of Pharmacy and internal quality assurance team.</w:t>
            </w:r>
          </w:p>
        </w:tc>
        <w:tc>
          <w:tcPr/>
          <w:p>
            <w:pPr>
              <w:pStyle w:val="Compact"/>
              <w:jc w:val="left"/>
            </w:pPr>
            <w:r>
              <w:t xml:space="preserve">1</w:t>
            </w:r>
          </w:p>
        </w:tc>
        <w:tc>
          <w:tcPr/>
          <w:p>
            <w:pPr>
              <w:pStyle w:val="Compact"/>
              <w:jc w:val="left"/>
            </w:pPr>
            <w:r>
              <w:t xml:space="preserve">Assessment</w:t>
            </w:r>
          </w:p>
        </w:tc>
        <w:tc>
          <w:tcPr/>
          <w:p>
            <w:pPr>
              <w:pStyle w:val="Compact"/>
              <w:jc w:val="left"/>
            </w:pPr>
            <w:r>
              <w:t xml:space="preserve">15,000.00</w:t>
            </w:r>
          </w:p>
        </w:tc>
        <w:tc>
          <w:tcPr/>
          <w:p>
            <w:pPr>
              <w:pStyle w:val="Compact"/>
              <w:jc w:val="left"/>
            </w:pPr>
            <w:r>
              <w:t xml:space="preserve">15,000.00</w:t>
            </w:r>
          </w:p>
        </w:tc>
        <w:tc>
          <w:tcPr/>
          <w:p>
            <w:pPr>
              <w:pStyle w:val="Compact"/>
              <w:jc w:val="left"/>
            </w:pPr>
            <w:r>
              <w:t xml:space="preserve">Aug 31, 2026</w:t>
            </w:r>
          </w:p>
        </w:tc>
      </w:tr>
      <w:tr>
        <w:tc>
          <w:tcPr>
            <w:gridSpan w:val="5"/>
          </w:tcPr>
          <w:p>
            <w:pPr>
              <w:pStyle w:val="Compact"/>
              <w:jc w:val="right"/>
            </w:pPr>
            <w:r>
              <w:t xml:space="preserve">SUBTOTAL (PHP)</w:t>
            </w:r>
          </w:p>
        </w:tc>
        <w:tc>
          <w:tcPr/>
          <w:p>
            <w:pPr>
              <w:pStyle w:val="Compact"/>
              <w:jc w:val="left"/>
            </w:pPr>
            <w:r>
              <w:t xml:space="preserve">1,118,700.00</w:t>
            </w:r>
          </w:p>
        </w:tc>
        <w:tc>
          <w:tcPr/>
          <w:p>
            <w:pPr>
              <w:pStyle w:val="Compact"/>
            </w:pPr>
          </w:p>
        </w:tc>
      </w:tr>
      <w:tr>
        <w:tc>
          <w:tcPr>
            <w:gridSpan w:val="5"/>
          </w:tcPr>
          <w:p>
            <w:pPr>
              <w:pStyle w:val="Compact"/>
              <w:jc w:val="right"/>
            </w:pPr>
            <w:r>
              <w:t xml:space="preserve">VAT (12%)</w:t>
            </w:r>
          </w:p>
        </w:tc>
        <w:tc>
          <w:tcPr/>
          <w:p>
            <w:pPr>
              <w:pStyle w:val="Compact"/>
              <w:jc w:val="left"/>
            </w:pPr>
            <w:r>
              <w:t xml:space="preserve">134,244.00</w:t>
            </w:r>
          </w:p>
        </w:tc>
        <w:tc>
          <w:tcPr/>
          <w:p>
            <w:pPr>
              <w:pStyle w:val="Compact"/>
            </w:pPr>
          </w:p>
        </w:tc>
      </w:tr>
      <w:tr>
        <w:tc>
          <w:tcPr>
            <w:gridSpan w:val="5"/>
          </w:tcPr>
          <w:p>
            <w:pPr>
              <w:pStyle w:val="Compact"/>
              <w:jc w:val="right"/>
            </w:pPr>
            <w:r>
              <w:t xml:space="preserve">GRAND TOTAL (PHP)</w:t>
            </w:r>
          </w:p>
        </w:tc>
        <w:tc>
          <w:tcPr/>
          <w:p>
            <w:pPr>
              <w:pStyle w:val="Compact"/>
              <w:jc w:val="left"/>
            </w:pPr>
            <w:r>
              <w:t xml:space="preserve">1,252,944.00</w:t>
            </w:r>
          </w:p>
        </w:tc>
        <w:tc>
          <w:tcPr/>
          <w:p>
            <w:pPr>
              <w:pStyle w:val="Compact"/>
            </w:pPr>
          </w:p>
        </w:tc>
      </w:tr>
    </w:tbl>
    <w:p>
      <w:pPr>
        <w:pStyle w:val="BodyText"/>
      </w:pPr>
      <w:r>
        <w:t xml:space="preserve">III. TERMS AND CONDITIONS</w:t>
      </w:r>
    </w:p>
    <w:p>
      <w:pPr>
        <w:numPr>
          <w:ilvl w:val="0"/>
          <w:numId w:val="1001"/>
        </w:numPr>
        <w:pStyle w:val="Compact"/>
      </w:pPr>
      <w:r>
        <w:rPr>
          <w:bCs/>
          <w:b/>
        </w:rPr>
        <w:t xml:space="preserve">Qualification Requirements:</w:t>
      </w:r>
      <w:r>
        <w:t xml:space="preserve"> </w:t>
      </w:r>
      <w:r>
        <w:t xml:space="preserve">The</w:t>
      </w:r>
      <w:r>
        <w:t xml:space="preserve"> </w:t>
      </w:r>
      <w:r>
        <w:t xml:space="preserve">Pharmacist</w:t>
      </w:r>
      <w:r>
        <w:t xml:space="preserve"> </w:t>
      </w:r>
      <w:r>
        <w:t xml:space="preserve">engaged under this</w:t>
      </w:r>
      <w:r>
        <w:t xml:space="preserve"> </w:t>
      </w:r>
      <w:r>
        <w:t xml:space="preserve">Purchase Order</w:t>
      </w:r>
      <w:r>
        <w:t xml:space="preserve"> </w:t>
      </w:r>
      <w:r>
        <w:t xml:space="preserve">must hold a valid and unexpired Professional Tax Receipt, a current license issued by the Philippine Board of Pharmacy, and a minimum of three (3) years of post-licensure experience in a hospital or retail pharmacy setting within the Philippines Manila metropolitan area.</w:t>
      </w:r>
    </w:p>
    <w:p>
      <w:pPr>
        <w:numPr>
          <w:ilvl w:val="0"/>
          <w:numId w:val="1001"/>
        </w:numPr>
        <w:pStyle w:val="Compact"/>
      </w:pPr>
      <w:r>
        <w:rPr>
          <w:bCs/>
          <w:b/>
        </w:rPr>
        <w:t xml:space="preserve">Payment Terms:</w:t>
      </w:r>
      <w:r>
        <w:t xml:space="preserve"> </w:t>
      </w:r>
      <w:r>
        <w:t xml:space="preserve">Payment shall be made via bank transfer to the designated account of Manila Health Professionals Staffing Corp. within fifteen (15) calendar days from the date of invoice submission. All amounts are denominated in Philippine Pesos (PHP) and are subject to the prevailing 12% Value Added Tax (VAT) as mandated by the Bureau of Internal Revenue (BIR) of the Philippines.</w:t>
      </w:r>
    </w:p>
    <w:p>
      <w:pPr>
        <w:numPr>
          <w:ilvl w:val="0"/>
          <w:numId w:val="1001"/>
        </w:numPr>
        <w:pStyle w:val="Compact"/>
      </w:pPr>
      <w:r>
        <w:rPr>
          <w:bCs/>
          <w:b/>
        </w:rPr>
        <w:t xml:space="preserve">Delivery and Commencement:</w:t>
      </w:r>
      <w:r>
        <w:t xml:space="preserve"> </w:t>
      </w:r>
      <w:r>
        <w:t xml:space="preserve">The</w:t>
      </w:r>
      <w:r>
        <w:t xml:space="preserve"> </w:t>
      </w:r>
      <w:r>
        <w:t xml:space="preserve">Pharmacist</w:t>
      </w:r>
      <w:r>
        <w:t xml:space="preserve"> </w:t>
      </w:r>
      <w:r>
        <w:t xml:space="preserve">shall report for duty at the Philippines Manila facility no later than 7:30 AM on September 1, 2025. Failure to commence within five (5) business days of the scheduled start date shall constitute a material breach of this</w:t>
      </w:r>
      <w:r>
        <w:t xml:space="preserve"> </w:t>
      </w:r>
      <w:r>
        <w:t xml:space="preserve">Purchase Order</w:t>
      </w:r>
      <w:r>
        <w:t xml:space="preserve">.</w:t>
      </w:r>
    </w:p>
    <w:p>
      <w:pPr>
        <w:numPr>
          <w:ilvl w:val="0"/>
          <w:numId w:val="1001"/>
        </w:numPr>
        <w:pStyle w:val="Compact"/>
      </w:pPr>
      <w:r>
        <w:rPr>
          <w:bCs/>
          <w:b/>
        </w:rPr>
        <w:t xml:space="preserve">Regulatory Compliance:</w:t>
      </w:r>
      <w:r>
        <w:t xml:space="preserve"> </w:t>
      </w:r>
      <w:r>
        <w:t xml:space="preserve">The</w:t>
      </w:r>
      <w:r>
        <w:t xml:space="preserve"> </w:t>
      </w:r>
      <w:r>
        <w:t xml:space="preserve">Pharmacist</w:t>
      </w:r>
      <w:r>
        <w:t xml:space="preserve"> </w:t>
      </w:r>
      <w:r>
        <w:t xml:space="preserve">shall strictly adhere to all laws, rules, and regulations promulgated by the Food and Drug Administration of the Philippines (FDA), the Philippine Board of Pharmacy, the Department of Health (DOH), and the local government units of Metro Manila. Any violation resulting in suspension or revocation of the Pharmacist's license shall be grounds for immediate termination of this Purchase Order.</w:t>
      </w:r>
    </w:p>
    <w:p>
      <w:pPr>
        <w:numPr>
          <w:ilvl w:val="0"/>
          <w:numId w:val="1001"/>
        </w:numPr>
        <w:pStyle w:val="Compact"/>
      </w:pPr>
      <w:r>
        <w:rPr>
          <w:bCs/>
          <w:b/>
        </w:rPr>
        <w:t xml:space="preserve">Confidentiality:</w:t>
      </w:r>
      <w:r>
        <w:t xml:space="preserve"> </w:t>
      </w:r>
      <w:r>
        <w:t xml:space="preserve">The</w:t>
      </w:r>
      <w:r>
        <w:t xml:space="preserve"> </w:t>
      </w:r>
      <w:r>
        <w:t xml:space="preserve">Pharmacist</w:t>
      </w:r>
      <w:r>
        <w:t xml:space="preserve"> </w:t>
      </w:r>
      <w:r>
        <w:t xml:space="preserve">shall maintain strict confidentiality of all patient records, proprietary formulary data, and business information of Medipham Alliance Pharmaceuticals, Inc., in accordance with the Data Privacy Act of 2012 (Republic Act No. 10173) of the Philippines.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gross negligence, fraud, or criminal conduct by the</w:t>
      </w:r>
      <w:r>
        <w:t xml:space="preserve"> </w:t>
      </w:r>
      <w:r>
        <w:t xml:space="preserve">Pharmacist</w:t>
      </w:r>
      <w:r>
        <w:t xml:space="preserve">, termination shall be effective immediately without prior notice.</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Republic of the Philippines. Any disputes arising herefrom shall be resolved through the courts of competent jurisdiction in Metro Manila, Philippines.</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acts of God, government-mandated closures, epidemics, or other events beyond reasonable control, as recognized under Philippine civil law.</w:t>
      </w:r>
    </w:p>
    <w:p>
      <w:pPr>
        <w:pStyle w:val="FirstParagraph"/>
      </w:pPr>
      <w:r>
        <w:rPr>
          <w:bCs/>
          <w:b/>
        </w:rPr>
        <w:t xml:space="preserve">NOTE:</w:t>
      </w:r>
      <w:r>
        <w:t xml:space="preserve"> </w:t>
      </w:r>
      <w:r>
        <w:t xml:space="preserve">This Purchase Order is valid only for the specific</w:t>
      </w:r>
      <w:r>
        <w:t xml:space="preserve"> </w:t>
      </w:r>
      <w:r>
        <w:t xml:space="preserve">Pharmacist</w:t>
      </w:r>
      <w:r>
        <w:t xml:space="preserve"> </w:t>
      </w:r>
      <w:r>
        <w:t xml:space="preserve">position described herein and for the Philippines Manila facility location. Any modification, amendment, or extension of this document must be executed in writing and signed by both authorized representatives. This document does not constitute an employment contract; the Pharmacist shall be engaged on a professional services contract basis through Manila Health Professionals Staffing Corp.</w:t>
      </w:r>
    </w:p>
    <w:p>
      <w:pPr>
        <w:pStyle w:val="BodyText"/>
      </w:pPr>
      <w:r>
        <w:t xml:space="preserve">IV. AUTHORIZED SIGNATORIES</w:t>
      </w:r>
    </w:p>
    <w:p>
      <w:pPr>
        <w:pStyle w:val="BodyText"/>
      </w:pPr>
      <w:r>
        <w:rPr>
          <w:bCs/>
          <w:b/>
        </w:rPr>
        <w:t xml:space="preserve">Dr. Maria Santos-Lim</w:t>
      </w:r>
      <w:r>
        <w:br/>
      </w:r>
      <w:r>
        <w:t xml:space="preserve">Head of Pharmacy Operations</w:t>
      </w:r>
      <w:r>
        <w:br/>
      </w:r>
      <w:r>
        <w:t xml:space="preserve">Medipham Alliance Pharmaceuticals, Inc.</w:t>
      </w:r>
      <w:r>
        <w:br/>
      </w:r>
      <w:r>
        <w:rPr>
          <w:iCs/>
          <w:i/>
        </w:rPr>
        <w:t xml:space="preserve">For and on behalf of the BUYER</w:t>
      </w:r>
      <w:r>
        <w:br/>
      </w:r>
      <w:r>
        <w:t xml:space="preserve">Date: ______________________</w:t>
      </w:r>
    </w:p>
    <w:p>
      <w:pPr>
        <w:pStyle w:val="BodyText"/>
      </w:pPr>
      <w:r>
        <w:rPr>
          <w:bCs/>
          <w:b/>
        </w:rPr>
        <w:t xml:space="preserve">Engr. Rafael D. Cruz</w:t>
      </w:r>
      <w:r>
        <w:br/>
      </w:r>
      <w:r>
        <w:t xml:space="preserve">Director of Personnel Placement</w:t>
      </w:r>
      <w:r>
        <w:br/>
      </w:r>
      <w:r>
        <w:t xml:space="preserve">Manila Health Professionals Staffing Corp.</w:t>
      </w:r>
      <w:r>
        <w:br/>
      </w:r>
      <w:r>
        <w:rPr>
          <w:iCs/>
          <w:i/>
        </w:rPr>
        <w:t xml:space="preserve">For and on behalf of the SELLER</w:t>
      </w:r>
      <w:r>
        <w:br/>
      </w:r>
      <w:r>
        <w:t xml:space="preserve">Date: ______________________</w:t>
      </w:r>
    </w:p>
    <w:p>
      <w:pPr>
        <w:pStyle w:val="BodyText"/>
      </w:pPr>
      <w:r>
        <w:rPr>
          <w:bCs/>
          <w:b/>
        </w:rPr>
        <w:t xml:space="preserve">Atty. Liza M. Fernandez</w:t>
      </w:r>
      <w:r>
        <w:br/>
      </w:r>
      <w:r>
        <w:t xml:space="preserve">Legal Counsel</w:t>
      </w:r>
      <w:r>
        <w:br/>
      </w:r>
      <w:r>
        <w:t xml:space="preserve">Medipham Alliance Pharmaceuticals, Inc.</w:t>
      </w:r>
      <w:r>
        <w:br/>
      </w:r>
      <w:r>
        <w:rPr>
          <w:iCs/>
          <w:i/>
        </w:rPr>
        <w:t xml:space="preserve">Legal Review and Attestation</w:t>
      </w:r>
      <w:r>
        <w:br/>
      </w:r>
      <w:r>
        <w:t xml:space="preserve">Date: ______________________</w:t>
      </w:r>
    </w:p>
    <w:p>
      <w:pPr>
        <w:pStyle w:val="BodyText"/>
      </w:pPr>
      <w:r>
        <w:t xml:space="preserve">Medipham Alliance Pharmaceuticals, Inc. | 128 Ayala Avenue, Makati City, Metro Manila, Philippines 1226</w:t>
      </w:r>
    </w:p>
    <w:p>
      <w:pPr>
        <w:pStyle w:val="BodyText"/>
      </w:pPr>
      <w:r>
        <w:t xml:space="preserve">This Purchase Order document is generated electronically and is valid without a physical seal. Document Reference: PO-2025-0714-PHARM-003 | Page 1 of 1</w:t>
      </w:r>
    </w:p>
    <w:p>
      <w:pPr>
        <w:pStyle w:val="BodyText"/>
      </w:pPr>
      <w:r>
        <w:t xml:space="preserve">© 2025 Medipham Alliance Pharmaceuticals, Inc. All Rights Reserved. | Philippines Manila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Pharmacist Services - Philippines Manila</dc:title>
  <dc:creator/>
  <dc:language>en</dc:language>
  <cp:keywords/>
  <dcterms:created xsi:type="dcterms:W3CDTF">2026-10-10T02:19:48Z</dcterms:created>
  <dcterms:modified xsi:type="dcterms:W3CDTF">2026-10-10T02:19:48Z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