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Supply</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Pharmaceutical Supply Procurement for Licensed Pharmacist Operations</w:t>
      </w:r>
    </w:p>
    <w:p>
      <w:pPr>
        <w:pStyle w:val="BodyText"/>
      </w:pPr>
      <w:r>
        <w:t xml:space="preserve">Republic of Senegal — Dakar Region — Plateau District</w:t>
      </w:r>
    </w:p>
    <w:bookmarkEnd w:id="20"/>
    <w:p>
      <w:pPr>
        <w:pStyle w:val="BodyText"/>
      </w:pPr>
      <w:r>
        <w:t xml:space="preserve">PO No.: SEN-DKR-2025-04872</w:t>
      </w:r>
      <w:r>
        <w:br/>
      </w:r>
      <w:r>
        <w:t xml:space="preserve">Date of Issue: 15 June 2025</w:t>
      </w:r>
      <w:r>
        <w:br/>
      </w:r>
      <w:r>
        <w:t xml:space="preserve">Valid Until: 15 July 2025</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Buyer (Pharmacist)</w:t>
            </w:r>
          </w:p>
        </w:tc>
        <w:tc>
          <w:tcPr/>
          <w:p>
            <w:pPr>
              <w:pStyle w:val="Compact"/>
              <w:jc w:val="left"/>
            </w:pPr>
            <w:r>
              <w:t xml:space="preserve">Dr. Awa Ndiaye, Licensed Pharmacist (Ordre des Pharmaciens du Sénégal, Registration No. OP-SN-2019-0342)</w:t>
            </w:r>
          </w:p>
        </w:tc>
        <w:tc>
          <w:tcPr/>
          <w:p>
            <w:pPr>
              <w:pStyle w:val="Compact"/>
              <w:jc w:val="left"/>
            </w:pPr>
            <w:r>
              <w:t xml:space="preserve">Seller / Supplier</w:t>
            </w:r>
          </w:p>
        </w:tc>
        <w:tc>
          <w:tcPr/>
          <w:p>
            <w:pPr>
              <w:pStyle w:val="Compact"/>
              <w:jc w:val="left"/>
            </w:pPr>
            <w:r>
              <w:t xml:space="preserve">Société Africaine de Distribution Pharmaceutique (SADP SARL)</w:t>
            </w:r>
          </w:p>
        </w:tc>
      </w:tr>
      <w:tr>
        <w:tc>
          <w:tcPr/>
          <w:p>
            <w:pPr>
              <w:pStyle w:val="Compact"/>
              <w:jc w:val="left"/>
            </w:pPr>
            <w:r>
              <w:t xml:space="preserve">Buyer Address</w:t>
            </w:r>
          </w:p>
        </w:tc>
        <w:tc>
          <w:tcPr/>
          <w:p>
            <w:pPr>
              <w:pStyle w:val="Compact"/>
              <w:jc w:val="left"/>
            </w:pPr>
            <w:r>
              <w:t xml:space="preserve">Pharmacie du Plateau, 12 Boulevard de la République, Plateau, Dakar, Sénégal</w:t>
            </w:r>
          </w:p>
        </w:tc>
        <w:tc>
          <w:tcPr/>
          <w:p>
            <w:pPr>
              <w:pStyle w:val="Compact"/>
              <w:jc w:val="left"/>
            </w:pPr>
            <w:r>
              <w:t xml:space="preserve">Seller Address</w:t>
            </w:r>
          </w:p>
        </w:tc>
        <w:tc>
          <w:tcPr/>
          <w:p>
            <w:pPr>
              <w:pStyle w:val="Compact"/>
              <w:jc w:val="left"/>
            </w:pPr>
            <w:r>
              <w:t xml:space="preserve">Zone Industrielle de Guédiewar, Route de l’Aéroport, Dakar, Sénégal</w:t>
            </w:r>
          </w:p>
        </w:tc>
      </w:tr>
      <w:tr>
        <w:tc>
          <w:tcPr/>
          <w:p>
            <w:pPr>
              <w:pStyle w:val="Compact"/>
              <w:jc w:val="left"/>
            </w:pPr>
            <w:r>
              <w:t xml:space="preserve">Buyer Contact</w:t>
            </w:r>
          </w:p>
        </w:tc>
        <w:tc>
          <w:tcPr/>
          <w:p>
            <w:pPr>
              <w:pStyle w:val="Compact"/>
              <w:jc w:val="left"/>
            </w:pPr>
            <w:r>
              <w:t xml:space="preserve">Phone: +221 33 821 45 67 | Email: a.ndiaye@pharmacieplateau.sn</w:t>
            </w:r>
          </w:p>
        </w:tc>
        <w:tc>
          <w:tcPr/>
          <w:p>
            <w:pPr>
              <w:pStyle w:val="Compact"/>
              <w:jc w:val="left"/>
            </w:pPr>
            <w:r>
              <w:t xml:space="preserve">Seller Contact</w:t>
            </w:r>
          </w:p>
        </w:tc>
        <w:tc>
          <w:tcPr/>
          <w:p>
            <w:pPr>
              <w:pStyle w:val="Compact"/>
              <w:jc w:val="left"/>
            </w:pPr>
            <w:r>
              <w:t xml:space="preserve">Phone: +221 33 865 22 10 | Email: commandes@sadp.sn</w:t>
            </w:r>
          </w:p>
        </w:tc>
      </w:tr>
      <w:tr>
        <w:tc>
          <w:tcPr/>
          <w:p>
            <w:pPr>
              <w:pStyle w:val="Compact"/>
              <w:jc w:val="left"/>
            </w:pPr>
            <w:r>
              <w:t xml:space="preserve">Currency</w:t>
            </w:r>
          </w:p>
        </w:tc>
        <w:tc>
          <w:tcPr/>
          <w:p>
            <w:pPr>
              <w:pStyle w:val="Compact"/>
              <w:jc w:val="left"/>
            </w:pPr>
            <w:r>
              <w:t xml:space="preserve">West African CFA Franc (XOF)</w:t>
            </w:r>
          </w:p>
        </w:tc>
        <w:tc>
          <w:tcPr/>
          <w:p>
            <w:pPr>
              <w:pStyle w:val="Compact"/>
              <w:jc w:val="left"/>
            </w:pPr>
            <w:r>
              <w:t xml:space="preserve">Payment Terms</w:t>
            </w:r>
          </w:p>
        </w:tc>
        <w:tc>
          <w:tcPr/>
          <w:p>
            <w:pPr>
              <w:pStyle w:val="Compact"/>
              <w:jc w:val="left"/>
            </w:pPr>
            <w:r>
              <w:t xml:space="preserve">Net 30 days from date of invoice, by bank transfer to BIC: BAKISN22</w:t>
            </w:r>
          </w:p>
        </w:tc>
      </w:tr>
      <w:tr>
        <w:tc>
          <w:tcPr/>
          <w:p>
            <w:pPr>
              <w:pStyle w:val="Compact"/>
              <w:jc w:val="left"/>
            </w:pPr>
            <w:r>
              <w:t xml:space="preserve">Delivery Location</w:t>
            </w:r>
          </w:p>
        </w:tc>
        <w:tc>
          <w:tcPr>
            <w:gridSpan w:val="3"/>
          </w:tcPr>
          <w:p>
            <w:pPr>
              <w:pStyle w:val="Compact"/>
              <w:jc w:val="left"/>
            </w:pPr>
            <w:r>
              <w:t xml:space="preserve">Pharmacie du Plateau, 12 Boulevard de la République, Plateau, Dakar, Sénégal — Delivery between 08:00 and 16:00 GMT</w:t>
            </w:r>
          </w:p>
        </w:tc>
      </w:tr>
    </w:tbl>
    <w:p>
      <w:pPr>
        <w:pStyle w:val="BodyText"/>
      </w:pPr>
      <w:r>
        <w:t xml:space="preserve">LINE ITEMS — Pharmaceutical Products and Equipment for Pharmacist Dispensing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Amoxicillin 500 mg capsules (14 per strip) — ANSM-approved, batch-traceable</w:t>
            </w:r>
          </w:p>
        </w:tc>
        <w:tc>
          <w:tcPr/>
          <w:p>
            <w:pPr>
              <w:pStyle w:val="Compact"/>
              <w:jc w:val="left"/>
            </w:pPr>
            <w:r>
              <w:t xml:space="preserve">Box (100 strips)</w:t>
            </w:r>
          </w:p>
        </w:tc>
        <w:tc>
          <w:tcPr/>
          <w:p>
            <w:pPr>
              <w:pStyle w:val="Compact"/>
              <w:jc w:val="left"/>
            </w:pPr>
            <w:r>
              <w:t xml:space="preserve">50</w:t>
            </w:r>
          </w:p>
        </w:tc>
        <w:tc>
          <w:tcPr/>
          <w:p>
            <w:pPr>
              <w:pStyle w:val="Compact"/>
              <w:jc w:val="left"/>
            </w:pPr>
            <w:r>
              <w:t xml:space="preserve">185,000</w:t>
            </w:r>
          </w:p>
        </w:tc>
        <w:tc>
          <w:tcPr/>
          <w:p>
            <w:pPr>
              <w:pStyle w:val="Compact"/>
              <w:jc w:val="left"/>
            </w:pPr>
            <w:r>
              <w:t xml:space="preserve">9,250,000</w:t>
            </w:r>
          </w:p>
        </w:tc>
      </w:tr>
      <w:tr>
        <w:tc>
          <w:tcPr/>
          <w:p>
            <w:pPr>
              <w:pStyle w:val="Compact"/>
              <w:jc w:val="left"/>
            </w:pPr>
            <w:r>
              <w:t xml:space="preserve">02</w:t>
            </w:r>
          </w:p>
        </w:tc>
        <w:tc>
          <w:tcPr/>
          <w:p>
            <w:pPr>
              <w:pStyle w:val="Compact"/>
              <w:jc w:val="left"/>
            </w:pPr>
            <w:r>
              <w:t xml:space="preserve">Paracetamol 1 g effervescent tablets (20 per box)</w:t>
            </w:r>
          </w:p>
        </w:tc>
        <w:tc>
          <w:tcPr/>
          <w:p>
            <w:pPr>
              <w:pStyle w:val="Compact"/>
              <w:jc w:val="left"/>
            </w:pPr>
            <w:r>
              <w:t xml:space="preserve">Box (50 units)</w:t>
            </w:r>
          </w:p>
        </w:tc>
        <w:tc>
          <w:tcPr/>
          <w:p>
            <w:pPr>
              <w:pStyle w:val="Compact"/>
              <w:jc w:val="left"/>
            </w:pPr>
            <w:r>
              <w:t xml:space="preserve">80</w:t>
            </w:r>
          </w:p>
        </w:tc>
        <w:tc>
          <w:tcPr/>
          <w:p>
            <w:pPr>
              <w:pStyle w:val="Compact"/>
              <w:jc w:val="left"/>
            </w:pPr>
            <w:r>
              <w:t xml:space="preserve">92,000</w:t>
            </w:r>
          </w:p>
        </w:tc>
        <w:tc>
          <w:tcPr/>
          <w:p>
            <w:pPr>
              <w:pStyle w:val="Compact"/>
              <w:jc w:val="left"/>
            </w:pPr>
            <w:r>
              <w:t xml:space="preserve">7,360,000</w:t>
            </w:r>
          </w:p>
        </w:tc>
      </w:tr>
      <w:tr>
        <w:tc>
          <w:tcPr/>
          <w:p>
            <w:pPr>
              <w:pStyle w:val="Compact"/>
              <w:jc w:val="left"/>
            </w:pPr>
            <w:r>
              <w:t xml:space="preserve">03</w:t>
            </w:r>
          </w:p>
        </w:tc>
        <w:tc>
          <w:tcPr/>
          <w:p>
            <w:pPr>
              <w:pStyle w:val="Compact"/>
              <w:jc w:val="left"/>
            </w:pPr>
            <w:r>
              <w:t xml:space="preserve">Oral Rehydration Salts (ORS) WHO formulation (20 sachets per pack)</w:t>
            </w:r>
          </w:p>
        </w:tc>
        <w:tc>
          <w:tcPr/>
          <w:p>
            <w:pPr>
              <w:pStyle w:val="Compact"/>
              <w:jc w:val="left"/>
            </w:pPr>
            <w:r>
              <w:t xml:space="preserve">Pack (100 units)</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Insulin Glargine 100 IU/mL prefilled pens (5 pens per carton)</w:t>
            </w:r>
          </w:p>
        </w:tc>
        <w:tc>
          <w:tcPr/>
          <w:p>
            <w:pPr>
              <w:pStyle w:val="Compact"/>
              <w:jc w:val="left"/>
            </w:pPr>
            <w:r>
              <w:t xml:space="preserve">Carton</w:t>
            </w:r>
          </w:p>
        </w:tc>
        <w:tc>
          <w:tcPr/>
          <w:p>
            <w:pPr>
              <w:pStyle w:val="Compact"/>
              <w:jc w:val="left"/>
            </w:pPr>
            <w:r>
              <w:t xml:space="preserve">30</w:t>
            </w:r>
          </w:p>
        </w:tc>
        <w:tc>
          <w:tcPr/>
          <w:p>
            <w:pPr>
              <w:pStyle w:val="Compact"/>
              <w:jc w:val="left"/>
            </w:pPr>
            <w:r>
              <w:t xml:space="preserve">310,000</w:t>
            </w:r>
          </w:p>
        </w:tc>
        <w:tc>
          <w:tcPr/>
          <w:p>
            <w:pPr>
              <w:pStyle w:val="Compact"/>
              <w:jc w:val="left"/>
            </w:pPr>
            <w:r>
              <w:t xml:space="preserve">9,300,000</w:t>
            </w:r>
          </w:p>
        </w:tc>
      </w:tr>
      <w:tr>
        <w:tc>
          <w:tcPr/>
          <w:p>
            <w:pPr>
              <w:pStyle w:val="Compact"/>
              <w:jc w:val="left"/>
            </w:pPr>
            <w:r>
              <w:t xml:space="preserve">05</w:t>
            </w:r>
          </w:p>
        </w:tc>
        <w:tc>
          <w:tcPr/>
          <w:p>
            <w:pPr>
              <w:pStyle w:val="Compact"/>
              <w:jc w:val="left"/>
            </w:pPr>
            <w:r>
              <w:t xml:space="preserve">Antiretroviral therapy (ART) combination tablets — TDF/3TC/DTG (90 tablets per bottle)</w:t>
            </w:r>
          </w:p>
        </w:tc>
        <w:tc>
          <w:tcPr/>
          <w:p>
            <w:pPr>
              <w:pStyle w:val="Compact"/>
              <w:jc w:val="left"/>
            </w:pPr>
            <w:r>
              <w:t xml:space="preserve">Bottle (20 units)</w:t>
            </w:r>
          </w:p>
        </w:tc>
        <w:tc>
          <w:tcPr/>
          <w:p>
            <w:pPr>
              <w:pStyle w:val="Compact"/>
              <w:jc w:val="left"/>
            </w:pPr>
            <w:r>
              <w:t xml:space="preserve">40</w:t>
            </w:r>
          </w:p>
        </w:tc>
        <w:tc>
          <w:tcPr/>
          <w:p>
            <w:pPr>
              <w:pStyle w:val="Compact"/>
              <w:jc w:val="left"/>
            </w:pPr>
            <w:r>
              <w:t xml:space="preserve">275,000</w:t>
            </w:r>
          </w:p>
        </w:tc>
        <w:tc>
          <w:tcPr/>
          <w:p>
            <w:pPr>
              <w:pStyle w:val="Compact"/>
              <w:jc w:val="left"/>
            </w:pPr>
            <w:r>
              <w:t xml:space="preserve">11,000,000</w:t>
            </w:r>
          </w:p>
        </w:tc>
      </w:tr>
      <w:tr>
        <w:tc>
          <w:tcPr/>
          <w:p>
            <w:pPr>
              <w:pStyle w:val="Compact"/>
              <w:jc w:val="left"/>
            </w:pPr>
            <w:r>
              <w:t xml:space="preserve">06</w:t>
            </w:r>
          </w:p>
        </w:tc>
        <w:tc>
          <w:tcPr/>
          <w:p>
            <w:pPr>
              <w:pStyle w:val="Compact"/>
              <w:jc w:val="left"/>
            </w:pPr>
            <w:r>
              <w:t xml:space="preserve">Pharmacist dispensing scale, precision 0.01 g, CE-marked, with calibration certificate</w:t>
            </w:r>
          </w:p>
        </w:tc>
        <w:tc>
          <w:tcPr/>
          <w:p>
            <w:pPr>
              <w:pStyle w:val="Compact"/>
              <w:jc w:val="left"/>
            </w:pPr>
            <w:r>
              <w:t xml:space="preserve">Unit</w:t>
            </w:r>
          </w:p>
        </w:tc>
        <w:tc>
          <w:tcPr/>
          <w:p>
            <w:pPr>
              <w:pStyle w:val="Compact"/>
              <w:jc w:val="left"/>
            </w:pPr>
            <w:r>
              <w:t xml:space="preserve">2</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07</w:t>
            </w:r>
          </w:p>
        </w:tc>
        <w:tc>
          <w:tcPr/>
          <w:p>
            <w:pPr>
              <w:pStyle w:val="Compact"/>
              <w:jc w:val="left"/>
            </w:pPr>
            <w:r>
              <w:t xml:space="preserve">Pharmaceutical cold-chain refrigerator (200 L), temperature range 2–8 °C, with digital alarm</w:t>
            </w:r>
          </w:p>
        </w:tc>
        <w:tc>
          <w:tcPr/>
          <w:p>
            <w:pPr>
              <w:pStyle w:val="Compact"/>
              <w:jc w:val="left"/>
            </w:pPr>
            <w:r>
              <w:t xml:space="preserve">Unit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Pharmacist PPE kit: nitrile gloves (1000), surgical masks (500), face shields (50), lab coats (10)</w:t>
            </w:r>
          </w:p>
        </w:tc>
        <w:tc>
          <w:tcPr/>
          <w:p>
            <w:pPr>
              <w:pStyle w:val="Compact"/>
              <w:jc w:val="left"/>
            </w:pPr>
            <w:r>
              <w:t xml:space="preserve">Kit</w:t>
            </w:r>
          </w:p>
        </w:tc>
        <w:tc>
          <w:tcPr/>
          <w:p>
            <w:pPr>
              <w:pStyle w:val="Compact"/>
              <w:jc w:val="left"/>
            </w:pPr>
            <w:r>
              <w:t xml:space="preserve">5</w:t>
            </w:r>
          </w:p>
        </w:tc>
        <w:tc>
          <w:tcPr/>
          <w:p>
            <w:pPr>
              <w:pStyle w:val="Compact"/>
              <w:jc w:val="left"/>
            </w:pPr>
            <w:r>
              <w:t xml:space="preserve">125,000</w:t>
            </w:r>
          </w:p>
        </w:tc>
        <w:tc>
          <w:tcPr/>
          <w:p>
            <w:pPr>
              <w:pStyle w:val="Compact"/>
              <w:jc w:val="left"/>
            </w:pPr>
            <w:r>
              <w:t xml:space="preserve">625,000</w:t>
            </w:r>
          </w:p>
        </w:tc>
      </w:tr>
      <w:tr>
        <w:tc>
          <w:tcPr/>
          <w:p>
            <w:pPr>
              <w:pStyle w:val="Compact"/>
              <w:jc w:val="left"/>
            </w:pPr>
            <w:r>
              <w:t xml:space="preserve">09</w:t>
            </w:r>
          </w:p>
        </w:tc>
        <w:tc>
          <w:tcPr/>
          <w:p>
            <w:pPr>
              <w:pStyle w:val="Compact"/>
              <w:jc w:val="left"/>
            </w:pPr>
            <w:r>
              <w:t xml:space="preserve">Pharmaceutical waste disposal containers (biohazard, 60 L) with sealed lids</w:t>
            </w:r>
          </w:p>
        </w:tc>
        <w:tc>
          <w:tcPr/>
          <w:p>
            <w:pPr>
              <w:pStyle w:val="Compact"/>
              <w:jc w:val="left"/>
            </w:pPr>
            <w:r>
              <w:t xml:space="preserve">Unit</w:t>
            </w:r>
          </w:p>
        </w:tc>
        <w:tc>
          <w:tcPr/>
          <w:p>
            <w:pPr>
              <w:pStyle w:val="Compact"/>
              <w:jc w:val="left"/>
            </w:pPr>
            <w:r>
              <w:t xml:space="preserve">4</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10</w:t>
            </w:r>
          </w:p>
        </w:tc>
        <w:tc>
          <w:tcPr/>
          <w:p>
            <w:pPr>
              <w:pStyle w:val="Compact"/>
              <w:jc w:val="left"/>
            </w:pPr>
            <w:r>
              <w:t xml:space="preserve">Pharmacist inventory management software license (1-year, French-language interface, ANSM-compliant reporting)</w:t>
            </w:r>
          </w:p>
        </w:tc>
        <w:tc>
          <w:tcPr/>
          <w:p>
            <w:pPr>
              <w:pStyle w:val="Compact"/>
              <w:jc w:val="left"/>
            </w:pPr>
            <w:r>
              <w:t xml:space="preserve">License</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w:t>
            </w:r>
          </w:p>
        </w:tc>
        <w:tc>
          <w:tcPr/>
          <w:p>
            <w:pPr>
              <w:pStyle w:val="Compact"/>
              <w:jc w:val="left"/>
            </w:pPr>
            <w:r>
              <w:t xml:space="preserve">46,845,000</w:t>
            </w:r>
          </w:p>
        </w:tc>
      </w:tr>
      <w:tr>
        <w:tc>
          <w:tcPr>
            <w:gridSpan w:val="5"/>
          </w:tcPr>
          <w:p>
            <w:pPr>
              <w:pStyle w:val="Compact"/>
              <w:jc w:val="right"/>
            </w:pPr>
            <w:r>
              <w:t xml:space="preserve">VAT (18% — Sénégal standard rate)</w:t>
            </w:r>
          </w:p>
        </w:tc>
        <w:tc>
          <w:tcPr/>
          <w:p>
            <w:pPr>
              <w:pStyle w:val="Compact"/>
              <w:jc w:val="left"/>
            </w:pPr>
            <w:r>
              <w:t xml:space="preserve">8,432,100</w:t>
            </w:r>
          </w:p>
        </w:tc>
      </w:tr>
      <w:tr>
        <w:tc>
          <w:tcPr>
            <w:gridSpan w:val="5"/>
          </w:tcPr>
          <w:p>
            <w:pPr>
              <w:pStyle w:val="Compact"/>
              <w:jc w:val="right"/>
            </w:pPr>
            <w:r>
              <w:t xml:space="preserve">DELIVERY &amp; HANDLING (Dakar metropolitan area)</w:t>
            </w:r>
          </w:p>
        </w:tc>
        <w:tc>
          <w:tcPr/>
          <w:p>
            <w:pPr>
              <w:pStyle w:val="Compact"/>
              <w:jc w:val="left"/>
            </w:pPr>
            <w:r>
              <w:t xml:space="preserve">185,000</w:t>
            </w:r>
          </w:p>
        </w:tc>
      </w:tr>
      <w:tr>
        <w:tc>
          <w:tcPr>
            <w:gridSpan w:val="5"/>
          </w:tcPr>
          <w:p>
            <w:pPr>
              <w:pStyle w:val="Compact"/>
              <w:jc w:val="right"/>
            </w:pPr>
            <w:r>
              <w:t xml:space="preserve">GRAND TOTAL (XOF)</w:t>
            </w:r>
          </w:p>
        </w:tc>
        <w:tc>
          <w:tcPr/>
          <w:p>
            <w:pPr>
              <w:pStyle w:val="Compact"/>
              <w:jc w:val="left"/>
            </w:pPr>
            <w:r>
              <w:t xml:space="preserve">55,462,100</w:t>
            </w:r>
          </w:p>
        </w:tc>
      </w:tr>
    </w:tbl>
    <w:p>
      <w:pPr>
        <w:pStyle w:val="BodyText"/>
      </w:pPr>
      <w:r>
        <w:t xml:space="preserve">TERMS AND CONDITIONS</w:t>
      </w:r>
    </w:p>
    <w:p>
      <w:pPr>
        <w:numPr>
          <w:ilvl w:val="0"/>
          <w:numId w:val="1001"/>
        </w:numPr>
        <w:pStyle w:val="Compact"/>
      </w:pPr>
      <w:r>
        <w:rPr>
          <w:bCs/>
          <w:b/>
        </w:rPr>
        <w:t xml:space="preserve">Regulatory Compliance:</w:t>
      </w:r>
      <w:r>
        <w:t xml:space="preserve"> </w:t>
      </w:r>
      <w:r>
        <w:t xml:space="preserve">All pharmaceutical products listed in this Purchase Order shall comply with the regulations of the Agence Nationale de Sécurité du Médicament et des Produits de Santé (ANSM) of Sénégal. The Pharmacist buyer, Dr. Awa Ndiaye, holds a valid license issued by the Ordre des Pharmaciens du Sénégal and is authorized to dispense and store the aforementioned products at the designated pharmacy in Dakar.</w:t>
      </w:r>
    </w:p>
    <w:p>
      <w:pPr>
        <w:numPr>
          <w:ilvl w:val="0"/>
          <w:numId w:val="1001"/>
        </w:numPr>
        <w:pStyle w:val="Compact"/>
      </w:pPr>
      <w:r>
        <w:rPr>
          <w:bCs/>
          <w:b/>
        </w:rPr>
        <w:t xml:space="preserve">Quality Assurance:</w:t>
      </w:r>
      <w:r>
        <w:t xml:space="preserve"> </w:t>
      </w:r>
      <w:r>
        <w:t xml:space="preserve">The supplier warrants that all medicinal products are manufactured under Good Manufacturing Practice (GMP) standards, are within their expiry date (minimum 18 months remaining at delivery), and are accompanied by certificates of analysis, batch numbers, and import permits valid for the Republic of Sénégal.</w:t>
      </w:r>
    </w:p>
    <w:p>
      <w:pPr>
        <w:numPr>
          <w:ilvl w:val="0"/>
          <w:numId w:val="1001"/>
        </w:numPr>
        <w:pStyle w:val="Compact"/>
      </w:pPr>
      <w:r>
        <w:rPr>
          <w:bCs/>
          <w:b/>
        </w:rPr>
        <w:t xml:space="preserve">Cold-Chain Integrity:</w:t>
      </w:r>
      <w:r>
        <w:t xml:space="preserve"> </w:t>
      </w:r>
      <w:r>
        <w:t xml:space="preserve">Temperature-sensitive items (Ref 04 — Insulin Glargine) must be transported in validated cold-chain packaging maintaining 2–8 °C throughout transit from the supplier’s warehouse in Guédiewar to the pharmacy premises in Plateau, Dakar. A continuous temperature data logger reading shall be provided upon delivery for the Pharmacist to verify and file.</w:t>
      </w:r>
    </w:p>
    <w:p>
      <w:pPr>
        <w:numPr>
          <w:ilvl w:val="0"/>
          <w:numId w:val="1001"/>
        </w:numPr>
        <w:pStyle w:val="Compact"/>
      </w:pPr>
      <w:r>
        <w:rPr>
          <w:bCs/>
          <w:b/>
        </w:rPr>
        <w:t xml:space="preserve">Delivery Schedule:</w:t>
      </w:r>
      <w:r>
        <w:t xml:space="preserve"> </w:t>
      </w:r>
      <w:r>
        <w:t xml:space="preserve">Full delivery of all line items shall be completed no later than 10 business days from the date of this Purchase Order. Partial deliveries are not permitted unless expressly agreed in writing by the Pharmacist buyer. Delivery shall be made to the pharmacy address in Dakar during standard business hours (08:00–16:00 GMT).</w:t>
      </w:r>
    </w:p>
    <w:p>
      <w:pPr>
        <w:numPr>
          <w:ilvl w:val="0"/>
          <w:numId w:val="1001"/>
        </w:numPr>
        <w:pStyle w:val="Compact"/>
      </w:pPr>
      <w:r>
        <w:rPr>
          <w:bCs/>
          <w:b/>
        </w:rPr>
        <w:t xml:space="preserve">Payment:</w:t>
      </w:r>
      <w:r>
        <w:t xml:space="preserve"> </w:t>
      </w:r>
      <w:r>
        <w:t xml:space="preserve">Payment of the Grand Total of</w:t>
      </w:r>
      <w:r>
        <w:t xml:space="preserve"> </w:t>
      </w:r>
      <w:r>
        <w:t xml:space="preserve">55,462,100 XOF</w:t>
      </w:r>
      <w:r>
        <w:t xml:space="preserve"> </w:t>
      </w:r>
      <w:r>
        <w:t xml:space="preserve">shall be made within thirty (30) calendar days of receipt of a valid tax invoice (facture) issued by the supplier, via bank transfer to the supplier’s account at Banque Africaine de Commerce International (BACI), Dakar. Late payments shall accrue interest at the rate of 1.5% per month as stipulated under the Sénégal Commercial Code.</w:t>
      </w:r>
    </w:p>
    <w:p>
      <w:pPr>
        <w:numPr>
          <w:ilvl w:val="0"/>
          <w:numId w:val="1001"/>
        </w:numPr>
        <w:pStyle w:val="Compact"/>
      </w:pPr>
      <w:r>
        <w:rPr>
          <w:bCs/>
          <w:b/>
        </w:rPr>
        <w:t xml:space="preserve">Inspection and Acceptance:</w:t>
      </w:r>
      <w:r>
        <w:t xml:space="preserve"> </w:t>
      </w:r>
      <w:r>
        <w:t xml:space="preserve">The Pharmacist shall inspect all delivered goods within five (5) business days of receipt. Any discrepancies in quantity, packaging integrity, batch numbers, or expiry dates must be reported in writing to the supplier within the same period. Non-conforming items shall be replaced at the supplier’s sole cost.</w:t>
      </w:r>
    </w:p>
    <w:p>
      <w:pPr>
        <w:numPr>
          <w:ilvl w:val="0"/>
          <w:numId w:val="1001"/>
        </w:numPr>
        <w:pStyle w:val="Compact"/>
      </w:pPr>
      <w:r>
        <w:rPr>
          <w:bCs/>
          <w:b/>
        </w:rPr>
        <w:t xml:space="preserve">Warranty and Returns:</w:t>
      </w:r>
      <w:r>
        <w:t xml:space="preserve"> </w:t>
      </w:r>
      <w:r>
        <w:t xml:space="preserve">Equipment items (Refs 06, 07, 08, 09) carry a minimum 12-month manufacturer warranty. Defective pharmaceutical products discovered after acceptance but within the first 30 days of storage may be returned for a full credit, subject to the Pharmacist providing a written quality complaint report.</w:t>
      </w:r>
    </w:p>
    <w:p>
      <w:pPr>
        <w:numPr>
          <w:ilvl w:val="0"/>
          <w:numId w:val="1001"/>
        </w:numPr>
        <w:pStyle w:val="Compact"/>
      </w:pPr>
      <w:r>
        <w:rPr>
          <w:bCs/>
          <w:b/>
        </w:rPr>
        <w:t xml:space="preserve">Intellectual Property and Software:</w:t>
      </w:r>
      <w:r>
        <w:t xml:space="preserve"> </w:t>
      </w:r>
      <w:r>
        <w:t xml:space="preserve">The pharmacy inventory management software license (Ref 10) is granted for single-site use at the pharmacy in Dakar. The license includes one year of updates, French-language user documentation, and remote technical support. Renewal terms shall be negotiated separately prior to expiry.</w:t>
      </w:r>
    </w:p>
    <w:p>
      <w:pPr>
        <w:numPr>
          <w:ilvl w:val="0"/>
          <w:numId w:val="1001"/>
        </w:numPr>
        <w:pStyle w:val="Compact"/>
      </w:pPr>
      <w:r>
        <w:rPr>
          <w:bCs/>
          <w:b/>
        </w:rPr>
        <w:t xml:space="preserve">Governing Law and Dispute Resolution:</w:t>
      </w:r>
      <w:r>
        <w:t xml:space="preserve"> </w:t>
      </w:r>
      <w:r>
        <w:t xml:space="preserve">This Purchase Order is governed by the laws of the Republic of Sénégal, including the Code de Commerce and the specific pharmaceutical regulations issued by the Ministry of Health. Any dispute arising from this Purchase Order shall first be subject to amicable negotiation between the Pharmacist and the supplier. Failing resolution within thirty (30) days, the matter shall be referred to the competent commercial court of Dakar.</w:t>
      </w:r>
    </w:p>
    <w:p>
      <w:pPr>
        <w:numPr>
          <w:ilvl w:val="0"/>
          <w:numId w:val="1001"/>
        </w:numPr>
        <w:pStyle w:val="Compact"/>
      </w:pPr>
      <w:r>
        <w:rPr>
          <w:bCs/>
          <w:b/>
        </w:rPr>
        <w:t xml:space="preserve">Confidentiality:</w:t>
      </w:r>
      <w:r>
        <w:t xml:space="preserve"> </w:t>
      </w:r>
      <w:r>
        <w:t xml:space="preserve">Both parties agree to maintain the confidentiality of pricing, quantities, and business terms contained in this Purchase Order. No information shall be disclosed to third parties without prior written consent, except as required by Sénégal law or regulatory authorities.</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sanctions, port closures at the Port of Dakar, or public health emergencies declared by the Sénégal government.</w:t>
      </w:r>
    </w:p>
    <w:p>
      <w:pPr>
        <w:pStyle w:val="FirstParagraph"/>
      </w:pPr>
      <w:r>
        <w:rPr>
          <w:bCs/>
          <w:b/>
        </w:rPr>
        <w:t xml:space="preserve">For and on behalf of the Buyer (Pharmacist):</w:t>
      </w:r>
      <w:r>
        <w:br/>
      </w:r>
      <w:r>
        <w:br/>
      </w:r>
      <w:r>
        <w:t xml:space="preserve">Name: Dr. Awa Ndiaye</w:t>
      </w:r>
      <w:r>
        <w:br/>
      </w:r>
      <w:r>
        <w:t xml:space="preserve">Title: Licensed Pharmacist / Propriétaire</w:t>
      </w:r>
      <w:r>
        <w:br/>
      </w:r>
      <w:r>
        <w:t xml:space="preserve">Ordre des Pharmaciens du Sénégal Reg. No.: OP-SN-2019-0342</w:t>
      </w:r>
      <w:r>
        <w:br/>
      </w:r>
      <w:r>
        <w:br/>
      </w:r>
      <w:r>
        <w:t xml:space="preserve">Signature: ___________________________</w:t>
      </w:r>
      <w:r>
        <w:br/>
      </w:r>
      <w:r>
        <w:t xml:space="preserve">Date: ___________________________</w:t>
      </w:r>
      <w:r>
        <w:br/>
      </w:r>
      <w:r>
        <w:t xml:space="preserve">Stamp:</w:t>
      </w:r>
    </w:p>
    <w:p>
      <w:pPr>
        <w:pStyle w:val="BodyText"/>
      </w:pPr>
      <w:r>
        <w:rPr>
          <w:bCs/>
          <w:b/>
        </w:rPr>
        <w:t xml:space="preserve">For and on behalf of the Supplier:</w:t>
      </w:r>
      <w:r>
        <w:br/>
      </w:r>
      <w:r>
        <w:br/>
      </w:r>
      <w:r>
        <w:t xml:space="preserve">Name: M. Ousmane Diop</w:t>
      </w:r>
      <w:r>
        <w:br/>
      </w:r>
      <w:r>
        <w:t xml:space="preserve">Title: Directeur Commercial, SADP SARL</w:t>
      </w:r>
      <w:r>
        <w:br/>
      </w:r>
      <w:r>
        <w:t xml:space="preserve">RCCM No.: SN-DKR-2015-08834</w:t>
      </w:r>
      <w:r>
        <w:br/>
      </w:r>
      <w:r>
        <w:br/>
      </w:r>
      <w:r>
        <w:t xml:space="preserve">Signature: ___________________________</w:t>
      </w:r>
      <w:r>
        <w:br/>
      </w:r>
      <w:r>
        <w:t xml:space="preserve">Date: ___________________________</w:t>
      </w:r>
      <w:r>
        <w:br/>
      </w:r>
      <w:r>
        <w:t xml:space="preserve">Stamp:</w:t>
      </w:r>
    </w:p>
    <w:p>
      <w:pPr>
        <w:pStyle w:val="BodyText"/>
      </w:pPr>
      <w:r>
        <w:t xml:space="preserve">This Purchase Order is issued in the Republic of Sénégal, Dakar, and constitutes a binding commercial agreement between the parties upon execution. All pharmaceutical transactions are subject to the oversight of the ANSM and the Ordre des Pharmaciens du Sénégal. Document reference: SEN-DKR-2025-04872. © 2025 Pharmacie du Plateau, Dakar, Sénégal.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Supply - Senegal Dakar</dc:title>
  <dc:creator/>
  <dc:language>en</dc:language>
  <cp:keywords/>
  <dcterms:created xsi:type="dcterms:W3CDTF">2026-10-10T02:46:03Z</dcterms:created>
  <dcterms:modified xsi:type="dcterms:W3CDTF">2026-10-10T02:46:03Z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