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Pharmaceutical Supply Procurement — Turkey Istanbul</w:t>
      </w:r>
    </w:p>
    <w:p>
      <w:pPr>
        <w:pStyle w:val="BodyText"/>
      </w:pPr>
      <w:r>
        <w:t xml:space="preserve">PO-IST-2025-04782</w:t>
      </w:r>
    </w:p>
    <w:bookmarkEnd w:id="20"/>
    <w:bookmarkStart w:id="21" w:name="buyer-information-pharmacist"/>
    <w:p>
      <w:pPr>
        <w:pStyle w:val="Heading3"/>
      </w:pPr>
      <w:r>
        <w:t xml:space="preserve">Buyer Information (Pharmacist)</w:t>
      </w:r>
    </w:p>
    <w:p>
      <w:pPr>
        <w:pStyle w:val="FirstParagraph"/>
      </w:pPr>
      <w:r>
        <w:t xml:space="preserve">Name:</w:t>
      </w:r>
      <w:r>
        <w:t xml:space="preserve"> </w:t>
      </w:r>
      <w:r>
        <w:t xml:space="preserve">Dr. Elif Kaya, Licensed Pharmacist</w:t>
      </w:r>
    </w:p>
    <w:p>
      <w:pPr>
        <w:pStyle w:val="BodyText"/>
      </w:pPr>
      <w:r>
        <w:t xml:space="preserve">License No.:</w:t>
      </w:r>
      <w:r>
        <w:t xml:space="preserve"> </w:t>
      </w:r>
      <w:r>
        <w:t xml:space="preserve">TPT-2019-44821 (Türkiye Eczacılar Birliği)</w:t>
      </w:r>
    </w:p>
    <w:p>
      <w:pPr>
        <w:pStyle w:val="BodyText"/>
      </w:pPr>
      <w:r>
        <w:t xml:space="preserve">Pharmacy:</w:t>
      </w:r>
      <w:r>
        <w:t xml:space="preserve"> </w:t>
      </w:r>
      <w:r>
        <w:t xml:space="preserve">Kaya Eczanesi</w:t>
      </w:r>
    </w:p>
    <w:p>
      <w:pPr>
        <w:pStyle w:val="BodyText"/>
      </w:pPr>
      <w:r>
        <w:t xml:space="preserve">Address:</w:t>
      </w:r>
      <w:r>
        <w:t xml:space="preserve"> </w:t>
      </w:r>
      <w:r>
        <w:t xml:space="preserve">Büyükdere Caddesi No. 142, Şişli, 34360 Istanbul, Turkey</w:t>
      </w:r>
    </w:p>
    <w:p>
      <w:pPr>
        <w:pStyle w:val="BodyText"/>
      </w:pPr>
      <w:r>
        <w:t xml:space="preserve">Tax ID (VKN):</w:t>
      </w:r>
      <w:r>
        <w:t xml:space="preserve"> </w:t>
      </w:r>
      <w:r>
        <w:t xml:space="preserve">1234567890</w:t>
      </w:r>
    </w:p>
    <w:p>
      <w:pPr>
        <w:pStyle w:val="BodyText"/>
      </w:pPr>
      <w:r>
        <w:t xml:space="preserve">Phone:</w:t>
      </w:r>
      <w:r>
        <w:t xml:space="preserve"> </w:t>
      </w:r>
      <w:r>
        <w:t xml:space="preserve">+90 212 555 0142</w:t>
      </w:r>
    </w:p>
    <w:p>
      <w:pPr>
        <w:pStyle w:val="BodyText"/>
      </w:pPr>
      <w:r>
        <w:t xml:space="preserve">Email:</w:t>
      </w:r>
      <w:r>
        <w:t xml:space="preserve"> </w:t>
      </w:r>
      <w:r>
        <w:t xml:space="preserve">info@kayaeczanesi.com.tr</w:t>
      </w:r>
    </w:p>
    <w:bookmarkEnd w:id="21"/>
    <w:bookmarkStart w:id="22" w:name="vendor-information"/>
    <w:p>
      <w:pPr>
        <w:pStyle w:val="Heading3"/>
      </w:pPr>
      <w:r>
        <w:t xml:space="preserve">Vendor Information</w:t>
      </w:r>
    </w:p>
    <w:p>
      <w:pPr>
        <w:pStyle w:val="FirstParagraph"/>
      </w:pPr>
      <w:r>
        <w:t xml:space="preserve">Company:</w:t>
      </w:r>
      <w:r>
        <w:t xml:space="preserve"> </w:t>
      </w:r>
      <w:r>
        <w:t xml:space="preserve">Anadolu Pharma Distribution A.Ş.</w:t>
      </w:r>
    </w:p>
    <w:p>
      <w:pPr>
        <w:pStyle w:val="BodyText"/>
      </w:pPr>
      <w:r>
        <w:t xml:space="preserve">Address:</w:t>
      </w:r>
      <w:r>
        <w:t xml:space="preserve"> </w:t>
      </w:r>
      <w:r>
        <w:t xml:space="preserve">Organize Sanayi Bölgesi, 3. Cadde No. 87, Tuzla, 34940 Istanbul, Turkey</w:t>
      </w:r>
    </w:p>
    <w:p>
      <w:pPr>
        <w:pStyle w:val="BodyText"/>
      </w:pPr>
      <w:r>
        <w:t xml:space="preserve">Tax ID (VKN):</w:t>
      </w:r>
      <w:r>
        <w:t xml:space="preserve"> </w:t>
      </w:r>
      <w:r>
        <w:t xml:space="preserve">9876543210</w:t>
      </w:r>
    </w:p>
    <w:p>
      <w:pPr>
        <w:pStyle w:val="BodyText"/>
      </w:pPr>
      <w:r>
        <w:t xml:space="preserve">Contact Person:</w:t>
      </w:r>
      <w:r>
        <w:t xml:space="preserve"> </w:t>
      </w:r>
      <w:r>
        <w:t xml:space="preserve">Murat Demir, Sales Director</w:t>
      </w:r>
    </w:p>
    <w:p>
      <w:pPr>
        <w:pStyle w:val="BodyText"/>
      </w:pPr>
      <w:r>
        <w:t xml:space="preserve">Phone:</w:t>
      </w:r>
      <w:r>
        <w:t xml:space="preserve"> </w:t>
      </w:r>
      <w:r>
        <w:t xml:space="preserve">+90 216 777 3321</w:t>
      </w:r>
    </w:p>
    <w:p>
      <w:pPr>
        <w:pStyle w:val="BodyText"/>
      </w:pPr>
      <w:r>
        <w:t xml:space="preserve">Email:</w:t>
      </w:r>
      <w:r>
        <w:t xml:space="preserve"> </w:t>
      </w:r>
      <w:r>
        <w:t xml:space="preserve">sales@anadolupharma.com.tr</w:t>
      </w:r>
    </w:p>
    <w:bookmarkEnd w:id="22"/>
    <w:p>
      <w:pPr>
        <w:pStyle w:val="BodyText"/>
      </w:pPr>
      <w:r>
        <w:t xml:space="preserve">Purchase Order Date:</w:t>
      </w:r>
      <w:r>
        <w:t xml:space="preserve"> </w:t>
      </w:r>
      <w:r>
        <w:t xml:space="preserve">15 June 2025</w:t>
      </w:r>
    </w:p>
    <w:p>
      <w:pPr>
        <w:pStyle w:val="BodyText"/>
      </w:pPr>
      <w:r>
        <w:t xml:space="preserve">Required Delivery Date:</w:t>
      </w:r>
      <w:r>
        <w:t xml:space="preserve"> </w:t>
      </w:r>
      <w:r>
        <w:t xml:space="preserve">29 June 2025</w:t>
      </w:r>
    </w:p>
    <w:p>
      <w:pPr>
        <w:pStyle w:val="BodyText"/>
      </w:pPr>
      <w:r>
        <w:t xml:space="preserve">Delivery Location:</w:t>
      </w:r>
      <w:r>
        <w:t xml:space="preserve"> </w:t>
      </w:r>
      <w:r>
        <w:t xml:space="preserve">Kaya Eczanesi, Şişli, Istanbul, Turkey</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Turkish Lira (TRY / TL)</w:t>
      </w:r>
    </w:p>
    <w:p>
      <w:pPr>
        <w:pStyle w:val="BodyText"/>
      </w:pPr>
      <w:r>
        <w:t xml:space="preserve">Shipping Method:</w:t>
      </w:r>
      <w:r>
        <w:t xml:space="preserve"> </w:t>
      </w:r>
      <w:r>
        <w:t xml:space="preserve">Cold-chain compliant transport (2–8°C)</w:t>
      </w:r>
    </w:p>
    <w:p>
      <w:pPr>
        <w:pStyle w:val="BodyText"/>
      </w:pPr>
      <w:r>
        <w:t xml:space="preserve">Incoterms:</w:t>
      </w:r>
      <w:r>
        <w:t xml:space="preserve"> </w:t>
      </w:r>
      <w:r>
        <w:t xml:space="preserve">DDP Istanbul (Delivered Duty Paid)</w:t>
      </w:r>
    </w:p>
    <w:p>
      <w:pPr>
        <w:pStyle w:val="BodyText"/>
      </w:pPr>
      <w:r>
        <w:t xml:space="preserve">Regulatory Reference:</w:t>
      </w:r>
      <w:r>
        <w:t xml:space="preserve"> </w:t>
      </w:r>
      <w:r>
        <w:t xml:space="preserve">Turkish Ministry of Health (Sağlık Bakanlığı) Decree No. 2024/1187</w:t>
      </w:r>
    </w:p>
    <w:p>
      <w:pPr>
        <w:pStyle w:val="BodyText"/>
      </w:pPr>
      <w:r>
        <w:t xml:space="preserve">GMP Compliance:</w:t>
      </w:r>
      <w:r>
        <w:t xml:space="preserve"> </w:t>
      </w:r>
      <w:r>
        <w:t xml:space="preserve">EU GMP Annex 1 &amp; Turkish Pharmacopoeia (Türk Farmakopesi) 11th Edition</w:t>
      </w:r>
    </w:p>
    <w:bookmarkStart w:id="24" w:name="order-line-items"/>
    <w:p>
      <w:pPr>
        <w:pStyle w:val="Heading2"/>
      </w:pPr>
      <w:r>
        <w:t xml:space="preserve">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Batch / Lot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Amoxicillin 500 mg Capsules (14 caps/box) — for retail dispensing by the Pharmacist</w:t>
            </w:r>
          </w:p>
        </w:tc>
        <w:tc>
          <w:tcPr/>
          <w:p>
            <w:pPr>
              <w:pStyle w:val="Compact"/>
              <w:jc w:val="left"/>
            </w:pPr>
            <w:r>
              <w:t xml:space="preserve">AMX-2025-0612</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Insulin Glargine 100 IU/mL Pen (3 mL) — cold-chain product for the Pharmacist's diabetes care program</w:t>
            </w:r>
          </w:p>
        </w:tc>
        <w:tc>
          <w:tcPr/>
          <w:p>
            <w:pPr>
              <w:pStyle w:val="Compact"/>
              <w:jc w:val="left"/>
            </w:pPr>
            <w:r>
              <w:t xml:space="preserve">INS-2025-0448</w:t>
            </w:r>
          </w:p>
        </w:tc>
        <w:tc>
          <w:tcPr/>
          <w:p>
            <w:pPr>
              <w:pStyle w:val="Compact"/>
              <w:jc w:val="left"/>
            </w:pPr>
            <w:r>
              <w:t xml:space="preserve">150</w:t>
            </w:r>
          </w:p>
        </w:tc>
        <w:tc>
          <w:tcPr/>
          <w:p>
            <w:pPr>
              <w:pStyle w:val="Compact"/>
              <w:jc w:val="left"/>
            </w:pPr>
            <w:r>
              <w:t xml:space="preserve">Pens</w:t>
            </w:r>
          </w:p>
        </w:tc>
        <w:tc>
          <w:tcPr/>
          <w:p>
            <w:pPr>
              <w:pStyle w:val="Compact"/>
              <w:jc w:val="left"/>
            </w:pPr>
            <w:r>
              <w:t xml:space="preserve">1,240.00</w:t>
            </w:r>
          </w:p>
        </w:tc>
        <w:tc>
          <w:tcPr/>
          <w:p>
            <w:pPr>
              <w:pStyle w:val="Compact"/>
              <w:jc w:val="left"/>
            </w:pPr>
            <w:r>
              <w:t xml:space="preserve">186,000.00</w:t>
            </w:r>
          </w:p>
        </w:tc>
      </w:tr>
      <w:tr>
        <w:tc>
          <w:tcPr/>
          <w:p>
            <w:pPr>
              <w:pStyle w:val="Compact"/>
              <w:jc w:val="left"/>
            </w:pPr>
            <w:r>
              <w:t xml:space="preserve">03</w:t>
            </w:r>
          </w:p>
        </w:tc>
        <w:tc>
          <w:tcPr/>
          <w:p>
            <w:pPr>
              <w:pStyle w:val="Compact"/>
              <w:jc w:val="left"/>
            </w:pPr>
            <w:r>
              <w:t xml:space="preserve">Pharmaceutical-grade Paracetamol 500 mg Tablets (20 tabs/blister)</w:t>
            </w:r>
          </w:p>
        </w:tc>
        <w:tc>
          <w:tcPr/>
          <w:p>
            <w:pPr>
              <w:pStyle w:val="Compact"/>
              <w:jc w:val="left"/>
            </w:pPr>
            <w:r>
              <w:t xml:space="preserve">PAR-2025-0731</w:t>
            </w:r>
          </w:p>
        </w:tc>
        <w:tc>
          <w:tcPr/>
          <w:p>
            <w:pPr>
              <w:pStyle w:val="Compact"/>
              <w:jc w:val="left"/>
            </w:pPr>
            <w:r>
              <w:t xml:space="preserve">500</w:t>
            </w:r>
          </w:p>
        </w:tc>
        <w:tc>
          <w:tcPr/>
          <w:p>
            <w:pPr>
              <w:pStyle w:val="Compact"/>
              <w:jc w:val="left"/>
            </w:pPr>
            <w:r>
              <w:t xml:space="preserve">Blister packs</w:t>
            </w:r>
          </w:p>
        </w:tc>
        <w:tc>
          <w:tcPr/>
          <w:p>
            <w:pPr>
              <w:pStyle w:val="Compact"/>
              <w:jc w:val="left"/>
            </w:pPr>
            <w:r>
              <w:t xml:space="preserve">42.50</w:t>
            </w:r>
          </w:p>
        </w:tc>
        <w:tc>
          <w:tcPr/>
          <w:p>
            <w:pPr>
              <w:pStyle w:val="Compact"/>
              <w:jc w:val="left"/>
            </w:pPr>
            <w:r>
              <w:t xml:space="preserve">21,250.00</w:t>
            </w:r>
          </w:p>
        </w:tc>
      </w:tr>
      <w:tr>
        <w:tc>
          <w:tcPr/>
          <w:p>
            <w:pPr>
              <w:pStyle w:val="Compact"/>
              <w:jc w:val="left"/>
            </w:pPr>
            <w:r>
              <w:t xml:space="preserve">04</w:t>
            </w:r>
          </w:p>
        </w:tc>
        <w:tc>
          <w:tcPr/>
          <w:p>
            <w:pPr>
              <w:pStyle w:val="Compact"/>
              <w:jc w:val="left"/>
            </w:pPr>
            <w:r>
              <w:t xml:space="preserve">Pharmacist's Compounding Kit — sterile vials, measuring cylinders, mortar &amp; pestle set (Türk Farmakopesi compliant)</w:t>
            </w:r>
          </w:p>
        </w:tc>
        <w:tc>
          <w:tcPr/>
          <w:p>
            <w:pPr>
              <w:pStyle w:val="Compact"/>
              <w:jc w:val="left"/>
            </w:pPr>
            <w:r>
              <w:t xml:space="preserve">CPK-2025-0092</w:t>
            </w:r>
          </w:p>
        </w:tc>
        <w:tc>
          <w:tcPr/>
          <w:p>
            <w:pPr>
              <w:pStyle w:val="Compact"/>
              <w:jc w:val="left"/>
            </w:pPr>
            <w:r>
              <w:t xml:space="preserve">5</w:t>
            </w:r>
          </w:p>
        </w:tc>
        <w:tc>
          <w:tcPr/>
          <w:p>
            <w:pPr>
              <w:pStyle w:val="Compact"/>
              <w:jc w:val="left"/>
            </w:pPr>
            <w:r>
              <w:t xml:space="preserve">Sets</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Pharmacy Refrigeration Unit (200 L, 2–8°C, with digital temperature logger) — for the Pharmacist's vaccine and insulin storage in Istanbul</w:t>
            </w:r>
          </w:p>
        </w:tc>
        <w:tc>
          <w:tcPr/>
          <w:p>
            <w:pPr>
              <w:pStyle w:val="Compact"/>
              <w:jc w:val="left"/>
            </w:pPr>
            <w:r>
              <w:t xml:space="preserve">REF-2025-0117</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06</w:t>
            </w:r>
          </w:p>
        </w:tc>
        <w:tc>
          <w:tcPr/>
          <w:p>
            <w:pPr>
              <w:pStyle w:val="Compact"/>
              <w:jc w:val="left"/>
            </w:pPr>
            <w:r>
              <w:t xml:space="preserve">Electronic Prescription Management Software License (1-year, Turkish e-Reçete system compatible)</w:t>
            </w:r>
          </w:p>
        </w:tc>
        <w:tc>
          <w:tcPr/>
          <w:p>
            <w:pPr>
              <w:pStyle w:val="Compact"/>
              <w:jc w:val="left"/>
            </w:pPr>
            <w:r>
              <w:t xml:space="preserve">SW-2025-0301</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Sterile Gauze Pads 10×10 cm (100 pcs/pack) — wound care supplies for the Pharmacist's OTC counter</w:t>
            </w:r>
          </w:p>
        </w:tc>
        <w:tc>
          <w:tcPr/>
          <w:p>
            <w:pPr>
              <w:pStyle w:val="Compact"/>
              <w:jc w:val="left"/>
            </w:pPr>
            <w:r>
              <w:t xml:space="preserve">GAU-2025-0554</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95.00</w:t>
            </w:r>
          </w:p>
        </w:tc>
        <w:tc>
          <w:tcPr/>
          <w:p>
            <w:pPr>
              <w:pStyle w:val="Compact"/>
              <w:jc w:val="left"/>
            </w:pPr>
            <w:r>
              <w:t xml:space="preserve">9,500.00</w:t>
            </w:r>
          </w:p>
        </w:tc>
      </w:tr>
      <w:tr>
        <w:tc>
          <w:tcPr/>
          <w:p>
            <w:pPr>
              <w:pStyle w:val="Compact"/>
              <w:jc w:val="left"/>
            </w:pPr>
            <w:r>
              <w:t xml:space="preserve">08</w:t>
            </w:r>
          </w:p>
        </w:tc>
        <w:tc>
          <w:tcPr/>
          <w:p>
            <w:pPr>
              <w:pStyle w:val="Compact"/>
              <w:jc w:val="left"/>
            </w:pPr>
            <w:r>
              <w:t xml:space="preserve">Pharmacist's Continuing Education (CE) Materials — 2025 Turkish Pharmacology Update Handbook (Türk Eczacılar Birliği approved)</w:t>
            </w:r>
          </w:p>
        </w:tc>
        <w:tc>
          <w:tcPr/>
          <w:p>
            <w:pPr>
              <w:pStyle w:val="Compact"/>
              <w:jc w:val="left"/>
            </w:pPr>
            <w:r>
              <w:t xml:space="preserve">CE-2025-0008</w:t>
            </w:r>
          </w:p>
        </w:tc>
        <w:tc>
          <w:tcPr/>
          <w:p>
            <w:pPr>
              <w:pStyle w:val="Compact"/>
              <w:jc w:val="left"/>
            </w:pPr>
            <w:r>
              <w:t xml:space="preserve">10</w:t>
            </w:r>
          </w:p>
        </w:tc>
        <w:tc>
          <w:tcPr/>
          <w:p>
            <w:pPr>
              <w:pStyle w:val="Compact"/>
              <w:jc w:val="left"/>
            </w:pPr>
            <w:r>
              <w:t xml:space="preserve">Copies</w:t>
            </w:r>
          </w:p>
        </w:tc>
        <w:tc>
          <w:tcPr/>
          <w:p>
            <w:pPr>
              <w:pStyle w:val="Compact"/>
              <w:jc w:val="left"/>
            </w:pPr>
            <w:r>
              <w:t xml:space="preserve">350.00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336,750.00 TRY</w:t>
            </w:r>
          </w:p>
        </w:tc>
      </w:tr>
      <w:tr>
        <w:tc>
          <w:tcPr/>
          <w:p>
            <w:pPr>
              <w:pStyle w:val="Compact"/>
              <w:jc w:val="left"/>
            </w:pPr>
            <w:r>
              <w:t xml:space="preserve">VAT (KDV) — 20%</w:t>
            </w:r>
          </w:p>
        </w:tc>
        <w:tc>
          <w:tcPr/>
          <w:p>
            <w:pPr>
              <w:pStyle w:val="Compact"/>
              <w:jc w:val="right"/>
            </w:pPr>
            <w:r>
              <w:t xml:space="preserve">67,350.00 TRY</w:t>
            </w:r>
          </w:p>
        </w:tc>
      </w:tr>
      <w:tr>
        <w:tc>
          <w:tcPr/>
          <w:p>
            <w:pPr>
              <w:pStyle w:val="Compact"/>
              <w:jc w:val="left"/>
            </w:pPr>
            <w:r>
              <w:t xml:space="preserve">Cold-Chain Shipping Surcharge</w:t>
            </w:r>
          </w:p>
        </w:tc>
        <w:tc>
          <w:tcPr/>
          <w:p>
            <w:pPr>
              <w:pStyle w:val="Compact"/>
              <w:jc w:val="right"/>
            </w:pPr>
            <w:r>
              <w:t xml:space="preserve">4,200.00 TRY</w:t>
            </w:r>
          </w:p>
        </w:tc>
      </w:tr>
      <w:tr>
        <w:tc>
          <w:tcPr/>
          <w:p>
            <w:pPr>
              <w:pStyle w:val="Compact"/>
              <w:jc w:val="left"/>
            </w:pPr>
            <w:r>
              <w:t xml:space="preserve">Grand Total</w:t>
            </w:r>
          </w:p>
        </w:tc>
        <w:tc>
          <w:tcPr/>
          <w:p>
            <w:pPr>
              <w:pStyle w:val="Compact"/>
              <w:jc w:val="right"/>
            </w:pPr>
            <w:r>
              <w:t xml:space="preserve">408,300.00 TRY</w:t>
            </w:r>
          </w:p>
        </w:tc>
      </w:tr>
    </w:tbl>
    <w:bookmarkStart w:id="23" w:name="terms-conditions-regulatory-notes"/>
    <w:p>
      <w:pPr>
        <w:pStyle w:val="Heading3"/>
      </w:pPr>
      <w:r>
        <w:t xml:space="preserve">Terms, Conditions &amp; Regulatory Notes</w:t>
      </w:r>
    </w:p>
    <w:p>
      <w:pPr>
        <w:numPr>
          <w:ilvl w:val="0"/>
          <w:numId w:val="1001"/>
        </w:numPr>
        <w:pStyle w:val="Compact"/>
      </w:pPr>
      <w:r>
        <w:t xml:space="preserve">This Purchase Order is issued by a licensed Pharmacist operating under the jurisdiction of the Istanbul Provincial Directorate of Health (İstanbul İl Sağlık Müdürlüğü) and is governed by the laws of the Republic of Turkey.</w:t>
      </w:r>
    </w:p>
    <w:p>
      <w:pPr>
        <w:numPr>
          <w:ilvl w:val="0"/>
          <w:numId w:val="1001"/>
        </w:numPr>
        <w:pStyle w:val="Compact"/>
      </w:pPr>
      <w:r>
        <w:t xml:space="preserve">All pharmaceutical products listed in this Purchase Order must comply with the current edition of the Turkish Pharmacopoeia (Türk Farmakopesi) and must carry valid marketing authorization from the Turkish Medicines and Medical Devices Agency (TİTCK / İlaç ve Tıbbi Cihazlar Kurumu).</w:t>
      </w:r>
    </w:p>
    <w:p>
      <w:pPr>
        <w:numPr>
          <w:ilvl w:val="0"/>
          <w:numId w:val="1001"/>
        </w:numPr>
        <w:pStyle w:val="Compact"/>
      </w:pPr>
      <w:r>
        <w:t xml:space="preserve">The Pharmacist reserves the right to inspect all incoming goods upon delivery at the pharmacy premises in Şişli, Istanbul. Any product found to be outside the acceptable temperature range (2–8°C for cold-chain items) or bearing a damaged seal shall be rejected and returned at the vendor's expense.</w:t>
      </w:r>
    </w:p>
    <w:p>
      <w:pPr>
        <w:numPr>
          <w:ilvl w:val="0"/>
          <w:numId w:val="1001"/>
        </w:numPr>
        <w:pStyle w:val="Compact"/>
      </w:pPr>
      <w:r>
        <w:t xml:space="preserve">Delivery of all items under this Purchase Order must be completed no later than 29 June 2025. Late delivery beyond five (5) business days entitles the Pharmacist to cancel the affected line items without penalty.</w:t>
      </w:r>
    </w:p>
    <w:p>
      <w:pPr>
        <w:numPr>
          <w:ilvl w:val="0"/>
          <w:numId w:val="1001"/>
        </w:numPr>
        <w:pStyle w:val="Compact"/>
      </w:pPr>
      <w:r>
        <w:t xml:space="preserve">Payment shall be made via bank transfer to the vendor's designated account within thirty (30) calendar days of the date of the commercial invoice, in accordance with Turkish commercial law (Türk Ticaret Kanunu, Law No. 6102).</w:t>
      </w:r>
    </w:p>
    <w:p>
      <w:pPr>
        <w:numPr>
          <w:ilvl w:val="0"/>
          <w:numId w:val="1001"/>
        </w:numPr>
        <w:pStyle w:val="Compact"/>
      </w:pPr>
      <w:r>
        <w:t xml:space="preserve">The vendor warrants that all products are manufactured under Good Manufacturing Practice (GMP) conditions as defined by the European Union GMP Guidelines and the Turkish Ministry of Health regulations. Certificates of Analysis (CoA) and Certificates of Compliance (CoC) must accompany each shipment.</w:t>
      </w:r>
    </w:p>
    <w:p>
      <w:pPr>
        <w:numPr>
          <w:ilvl w:val="0"/>
          <w:numId w:val="1001"/>
        </w:numPr>
        <w:pStyle w:val="Compact"/>
      </w:pPr>
      <w:r>
        <w:t xml:space="preserve">This Purchase Order does not constitute a long-term supply agreement. Each subsequent order by the Pharmacist shall be subject to a separate Purchase Order document and mutual written confirmation.</w:t>
      </w:r>
    </w:p>
    <w:p>
      <w:pPr>
        <w:numPr>
          <w:ilvl w:val="0"/>
          <w:numId w:val="1001"/>
        </w:numPr>
        <w:pStyle w:val="Compact"/>
      </w:pPr>
      <w:r>
        <w:t xml:space="preserve">Any disputes arising from this Purchase Order shall be resolved under the jurisdiction of the Istanbul Commercial Courts (İstanbul Ticaret Mahkemeleri) in accordance with Turkish civil and commercial procedure law.</w:t>
      </w:r>
    </w:p>
    <w:p>
      <w:pPr>
        <w:numPr>
          <w:ilvl w:val="0"/>
          <w:numId w:val="1001"/>
        </w:numPr>
        <w:pStyle w:val="Compact"/>
      </w:pPr>
      <w:r>
        <w:t xml:space="preserve">The Pharmacist acknowledges that the purchase of controlled substances, if any are added to this order in a future amendment, requires additional authorization from the Istanbul Provincial Directorate of Health and must be recorded in the pharmacy's controlled-substance register as mandated by Turkish law.</w:t>
      </w:r>
    </w:p>
    <w:p>
      <w:pPr>
        <w:numPr>
          <w:ilvl w:val="0"/>
          <w:numId w:val="1001"/>
        </w:numPr>
        <w:pStyle w:val="Compact"/>
      </w:pPr>
      <w:r>
        <w:t xml:space="preserve">All data processing related to this Purchase Order shall comply with the Turkish Personal Data Protection Law (KVKK — Law No. 6698) and applicable EU data-transfer regulations where relevant.</w:t>
      </w:r>
    </w:p>
    <w:bookmarkEnd w:id="23"/>
    <w:p>
      <w:pPr>
        <w:pStyle w:val="FirstParagraph"/>
      </w:pPr>
      <w:r>
        <w:rPr>
          <w:bCs/>
          <w:b/>
        </w:rPr>
        <w:t xml:space="preserve">Prepared &amp; Authorized By (Pharmacist / Buyer):</w:t>
      </w:r>
    </w:p>
    <w:p>
      <w:pPr>
        <w:pStyle w:val="BodyText"/>
      </w:pPr>
      <w:r>
        <w:t xml:space="preserve">Dr. Elif Kaya — Licensed Pharmacist</w:t>
      </w:r>
    </w:p>
    <w:p>
      <w:pPr>
        <w:pStyle w:val="BodyText"/>
      </w:pPr>
      <w:r>
        <w:t xml:space="preserve">Kaya Eczanesi, Istanbul, Turkey</w:t>
      </w:r>
    </w:p>
    <w:p>
      <w:pPr>
        <w:pStyle w:val="BodyText"/>
      </w:pPr>
      <w:r>
        <w:t xml:space="preserve">Date: 15 June 2025   |   Signature: ______________________</w:t>
      </w:r>
    </w:p>
    <w:p>
      <w:pPr>
        <w:pStyle w:val="BodyText"/>
      </w:pPr>
      <w:r>
        <w:rPr>
          <w:bCs/>
          <w:b/>
        </w:rPr>
        <w:t xml:space="preserve">Accepted &amp; Confirmed By (Vendor):</w:t>
      </w:r>
    </w:p>
    <w:p>
      <w:pPr>
        <w:pStyle w:val="BodyText"/>
      </w:pPr>
      <w:r>
        <w:t xml:space="preserve">Murat Demir — Sales Director</w:t>
      </w:r>
    </w:p>
    <w:p>
      <w:pPr>
        <w:pStyle w:val="BodyText"/>
      </w:pPr>
      <w:r>
        <w:t xml:space="preserve">Anadolu Pharma Distribution A.Ş., Istanbul, Turkey</w:t>
      </w:r>
    </w:p>
    <w:p>
      <w:pPr>
        <w:pStyle w:val="BodyText"/>
      </w:pPr>
      <w:r>
        <w:t xml:space="preserve">Date: _______________   |   Signature: ______________________</w:t>
      </w:r>
    </w:p>
    <w:p>
      <w:pPr>
        <w:pStyle w:val="BodyText"/>
      </w:pPr>
      <w:r>
        <w:t xml:space="preserve">This Purchase Order (PO-IST-2025-04782) was generated for the procurement of pharmaceutical and pharmacy-operational supplies by a licensed Pharmacist in Turkey Istanbul. All terms are subject to the laws of the Republic of Turkey. Document reference: Kaya Eczanesi / Anadolu Pharma Distribution A.Ş. —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Turkey Istanbul</dc:title>
  <dc:creator/>
  <dc:language>en</dc:language>
  <cp:keywords/>
  <dcterms:created xsi:type="dcterms:W3CDTF">2026-10-10T07:29:19Z</dcterms:created>
  <dcterms:modified xsi:type="dcterms:W3CDTF">2026-10-10T07:29:19Z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