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Supply</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2"/>
      </w:pPr>
      <w:r>
        <w:t xml:space="preserve">PURCHASE ORDER</w:t>
      </w:r>
    </w:p>
    <w:p>
      <w:pPr>
        <w:pStyle w:val="FirstParagraph"/>
      </w:pPr>
      <w:r>
        <w:t xml:space="preserve">PO Reference: PO-MAN-2025-04872</w:t>
      </w:r>
    </w:p>
    <w:p>
      <w:pPr>
        <w:pStyle w:val="BodyText"/>
      </w:pPr>
      <w:r>
        <w:t xml:space="preserve">Date of Issue: 14 June 2025</w:t>
      </w:r>
    </w:p>
    <w:bookmarkEnd w:id="20"/>
    <w:bookmarkStart w:id="21" w:name="pharmaceutical-supply-purchase-order"/>
    <w:p>
      <w:pPr>
        <w:pStyle w:val="Heading1"/>
      </w:pPr>
      <w:r>
        <w:t xml:space="preserve">Pharmaceutical Supply Purchase Order</w:t>
      </w:r>
    </w:p>
    <w:p>
      <w:pPr>
        <w:pStyle w:val="FirstParagraph"/>
      </w:pPr>
      <w:r>
        <w:t xml:space="preserve">Prepared for: Registered Pharmacist – Manchester, United Kingdom</w:t>
      </w:r>
    </w:p>
    <w:p>
      <w:pPr>
        <w:pStyle w:val="BodyText"/>
      </w:pPr>
      <w:r>
        <w:t xml:space="preserve">Document Classification: Commercial / Procurement</w:t>
      </w:r>
    </w:p>
    <w:bookmarkEnd w:id="21"/>
    <w:p>
      <w:pPr>
        <w:pStyle w:val="BodyText"/>
      </w:pPr>
      <w:r>
        <w:t xml:space="preserve">1. PARTIES INVOLVED</w:t>
      </w:r>
    </w:p>
    <w:bookmarkStart w:id="22" w:name="purchaser-buyer"/>
    <w:p>
      <w:pPr>
        <w:pStyle w:val="Heading3"/>
      </w:pPr>
      <w:r>
        <w:t xml:space="preserve">Purchaser (Buyer)</w:t>
      </w:r>
    </w:p>
    <w:p>
      <w:pPr>
        <w:pStyle w:val="FirstParagraph"/>
      </w:pPr>
      <w:r>
        <w:rPr>
          <w:bCs/>
          <w:b/>
        </w:rPr>
        <w:t xml:space="preserve">Name:</w:t>
      </w:r>
      <w:r>
        <w:t xml:space="preserve"> </w:t>
      </w:r>
      <w:r>
        <w:t xml:space="preserve">Dr. Eleanor Whitfield, BPharm, MPharm</w:t>
      </w:r>
    </w:p>
    <w:p>
      <w:pPr>
        <w:pStyle w:val="BodyText"/>
      </w:pPr>
      <w:r>
        <w:rPr>
          <w:bCs/>
          <w:b/>
        </w:rPr>
        <w:t xml:space="preserve">Title:</w:t>
      </w:r>
      <w:r>
        <w:t xml:space="preserve"> </w:t>
      </w:r>
      <w:r>
        <w:t xml:space="preserve">Principal Pharmacist</w:t>
      </w:r>
    </w:p>
    <w:p>
      <w:pPr>
        <w:pStyle w:val="BodyText"/>
      </w:pPr>
      <w:r>
        <w:rPr>
          <w:bCs/>
          <w:b/>
        </w:rPr>
        <w:t xml:space="preserve">Practice:</w:t>
      </w:r>
      <w:r>
        <w:t xml:space="preserve"> </w:t>
      </w:r>
      <w:r>
        <w:t xml:space="preserve">Whitfield &amp; Associates Pharmacy</w:t>
      </w:r>
    </w:p>
    <w:p>
      <w:pPr>
        <w:pStyle w:val="BodyText"/>
      </w:pPr>
      <w:r>
        <w:rPr>
          <w:bCs/>
          <w:b/>
        </w:rPr>
        <w:t xml:space="preserve">Address:</w:t>
      </w:r>
      <w:r>
        <w:t xml:space="preserve"> </w:t>
      </w:r>
      <w:r>
        <w:t xml:space="preserve">42 Deansgate, Manchester, M3 2LQ, United Kingdom</w:t>
      </w:r>
    </w:p>
    <w:p>
      <w:pPr>
        <w:pStyle w:val="BodyText"/>
      </w:pPr>
      <w:r>
        <w:rPr>
          <w:bCs/>
          <w:b/>
        </w:rPr>
        <w:t xml:space="preserve">GPhC Registration No:</w:t>
      </w:r>
      <w:r>
        <w:t xml:space="preserve"> </w:t>
      </w:r>
      <w:r>
        <w:t xml:space="preserve">9876543</w:t>
      </w:r>
    </w:p>
    <w:p>
      <w:pPr>
        <w:pStyle w:val="BodyText"/>
      </w:pPr>
      <w:r>
        <w:rPr>
          <w:bCs/>
          <w:b/>
        </w:rPr>
        <w:t xml:space="preserve">VAT Registration:</w:t>
      </w:r>
      <w:r>
        <w:t xml:space="preserve"> </w:t>
      </w:r>
      <w:r>
        <w:t xml:space="preserve">GB 123 4567 89</w:t>
      </w:r>
    </w:p>
    <w:p>
      <w:pPr>
        <w:pStyle w:val="BodyText"/>
      </w:pPr>
      <w:r>
        <w:rPr>
          <w:bCs/>
          <w:b/>
        </w:rPr>
        <w:t xml:space="preserve">Contact:</w:t>
      </w:r>
      <w:r>
        <w:t xml:space="preserve"> </w:t>
      </w:r>
      <w:r>
        <w:t xml:space="preserve">procurement@whitfieldpharmacy.co.uk</w:t>
      </w:r>
    </w:p>
    <w:bookmarkEnd w:id="22"/>
    <w:bookmarkStart w:id="23" w:name="supplier-seller"/>
    <w:p>
      <w:pPr>
        <w:pStyle w:val="Heading3"/>
      </w:pPr>
      <w:r>
        <w:t xml:space="preserve">Supplier (Seller)</w:t>
      </w:r>
    </w:p>
    <w:p>
      <w:pPr>
        <w:pStyle w:val="FirstParagraph"/>
      </w:pPr>
      <w:r>
        <w:rPr>
          <w:bCs/>
          <w:b/>
        </w:rPr>
        <w:t xml:space="preserve">Name:</w:t>
      </w:r>
      <w:r>
        <w:t xml:space="preserve"> </w:t>
      </w:r>
      <w:r>
        <w:t xml:space="preserve">NorthWest Pharma Distribution Ltd.</w:t>
      </w:r>
    </w:p>
    <w:p>
      <w:pPr>
        <w:pStyle w:val="BodyText"/>
      </w:pPr>
      <w:r>
        <w:rPr>
          <w:bCs/>
          <w:b/>
        </w:rPr>
        <w:t xml:space="preserve">Address:</w:t>
      </w:r>
      <w:r>
        <w:t xml:space="preserve"> </w:t>
      </w:r>
      <w:r>
        <w:t xml:space="preserve">Unit 7, Trafford Park Industrial Estate, Manchester, M17 1AB, United Kingdom</w:t>
      </w:r>
    </w:p>
    <w:p>
      <w:pPr>
        <w:pStyle w:val="BodyText"/>
      </w:pPr>
      <w:r>
        <w:rPr>
          <w:bCs/>
          <w:b/>
        </w:rPr>
        <w:t xml:space="preserve">VAT Registration:</w:t>
      </w:r>
      <w:r>
        <w:t xml:space="preserve"> </w:t>
      </w:r>
      <w:r>
        <w:t xml:space="preserve">GB 987 6543 21</w:t>
      </w:r>
    </w:p>
    <w:p>
      <w:pPr>
        <w:pStyle w:val="BodyText"/>
      </w:pPr>
      <w:r>
        <w:rPr>
          <w:bCs/>
          <w:b/>
        </w:rPr>
        <w:t xml:space="preserve">Company Reg No:</w:t>
      </w:r>
      <w:r>
        <w:t xml:space="preserve"> </w:t>
      </w:r>
      <w:r>
        <w:t xml:space="preserve">05432198</w:t>
      </w:r>
    </w:p>
    <w:p>
      <w:pPr>
        <w:pStyle w:val="BodyText"/>
      </w:pPr>
      <w:r>
        <w:rPr>
          <w:bCs/>
          <w:b/>
        </w:rPr>
        <w:t xml:space="preserve">Contact:</w:t>
      </w:r>
      <w:r>
        <w:t xml:space="preserve"> </w:t>
      </w:r>
      <w:r>
        <w:t xml:space="preserve">orders@nwpharmadist.co.uk</w:t>
      </w:r>
    </w:p>
    <w:p>
      <w:pPr>
        <w:pStyle w:val="BodyText"/>
      </w:pPr>
      <w:r>
        <w:rPr>
          <w:bCs/>
          <w:b/>
        </w:rPr>
        <w:t xml:space="preserve">Account Manager:</w:t>
      </w:r>
      <w:r>
        <w:t xml:space="preserve"> </w:t>
      </w:r>
      <w:r>
        <w:t xml:space="preserve">Mr. James Hartley</w:t>
      </w:r>
    </w:p>
    <w:bookmarkEnd w:id="23"/>
    <w:p>
      <w:pPr>
        <w:pStyle w:val="BodyText"/>
      </w:pPr>
      <w:r>
        <w:t xml:space="preserve">2.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w:t>
            </w:r>
          </w:p>
        </w:tc>
      </w:tr>
      <w:tr>
        <w:tc>
          <w:tcPr/>
          <w:p>
            <w:pPr>
              <w:pStyle w:val="Compact"/>
              <w:jc w:val="left"/>
            </w:pPr>
            <w:r>
              <w:t xml:space="preserve">Purchase Order Number</w:t>
            </w:r>
          </w:p>
        </w:tc>
        <w:tc>
          <w:tcPr/>
          <w:p>
            <w:pPr>
              <w:pStyle w:val="Compact"/>
              <w:jc w:val="left"/>
            </w:pPr>
            <w:r>
              <w:t xml:space="preserve">PO-MAN-2025-04872</w:t>
            </w:r>
          </w:p>
        </w:tc>
      </w:tr>
      <w:tr>
        <w:tc>
          <w:tcPr/>
          <w:p>
            <w:pPr>
              <w:pStyle w:val="Compact"/>
              <w:jc w:val="left"/>
            </w:pPr>
            <w:r>
              <w:t xml:space="preserve">Order Date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28 June 2025</w:t>
            </w:r>
          </w:p>
        </w:tc>
      </w:tr>
      <w:tr>
        <w:tc>
          <w:tcPr/>
          <w:p>
            <w:pPr>
              <w:pStyle w:val="Compact"/>
              <w:jc w:val="left"/>
            </w:pPr>
            <w:r>
              <w:t xml:space="preserve">Delivery Address</w:t>
            </w:r>
          </w:p>
        </w:tc>
        <w:tc>
          <w:tcPr/>
          <w:p>
            <w:pPr>
              <w:pStyle w:val="Compact"/>
              <w:jc w:val="left"/>
            </w:pPr>
            <w:r>
              <w:t xml:space="preserve">Whitfield &amp; Associates Pharmacy, 42 Deansgate, Manchester, M3 2LQ, United Kingdom</w:t>
            </w:r>
          </w:p>
        </w:tc>
      </w:tr>
      <w:tr>
        <w:tc>
          <w:tcPr/>
          <w:p>
            <w:pPr>
              <w:pStyle w:val="Compact"/>
              <w:jc w:val="left"/>
            </w:pPr>
            <w:r>
              <w:t xml:space="preserve">Payment Terms</w:t>
            </w:r>
          </w:p>
        </w:tc>
        <w:tc>
          <w:tcPr/>
          <w:p>
            <w:pPr>
              <w:pStyle w:val="Compact"/>
              <w:jc w:val="left"/>
            </w:pPr>
            <w:r>
              <w:t xml:space="preserve">Net 30 days from invoice date, by BACS transfer</w:t>
            </w:r>
          </w:p>
        </w:tc>
      </w:tr>
      <w:tr>
        <w:tc>
          <w:tcPr/>
          <w:p>
            <w:pPr>
              <w:pStyle w:val="Compact"/>
              <w:jc w:val="left"/>
            </w:pPr>
            <w:r>
              <w:t xml:space="preserve">Currency</w:t>
            </w:r>
          </w:p>
        </w:tc>
        <w:tc>
          <w:tcPr/>
          <w:p>
            <w:pPr>
              <w:pStyle w:val="Compact"/>
              <w:jc w:val="left"/>
            </w:pPr>
            <w:r>
              <w:t xml:space="preserve">British Pounds Sterling (GBP)</w:t>
            </w:r>
          </w:p>
        </w:tc>
      </w:tr>
      <w:tr>
        <w:tc>
          <w:tcPr/>
          <w:p>
            <w:pPr>
              <w:pStyle w:val="Compact"/>
              <w:jc w:val="left"/>
            </w:pPr>
            <w:r>
              <w:t xml:space="preserve">Incoterms</w:t>
            </w:r>
          </w:p>
        </w:tc>
        <w:tc>
          <w:tcPr/>
          <w:p>
            <w:pPr>
              <w:pStyle w:val="Compact"/>
              <w:jc w:val="left"/>
            </w:pPr>
            <w:r>
              <w:t xml:space="preserve">DDP (Delivered Duty Paid) – Manchester, United Kingdom</w:t>
            </w:r>
          </w:p>
        </w:tc>
      </w:tr>
      <w:tr>
        <w:tc>
          <w:tcPr/>
          <w:p>
            <w:pPr>
              <w:pStyle w:val="Compact"/>
              <w:jc w:val="left"/>
            </w:pPr>
            <w:r>
              <w:t xml:space="preserve">Delivery Method</w:t>
            </w:r>
          </w:p>
        </w:tc>
        <w:tc>
          <w:tcPr/>
          <w:p>
            <w:pPr>
              <w:pStyle w:val="Compact"/>
              <w:jc w:val="left"/>
            </w:pPr>
            <w:r>
              <w:t xml:space="preserve">Temperature-controlled courier (2–8°C for refrigerated items)</w:t>
            </w:r>
          </w:p>
        </w:tc>
      </w:tr>
    </w:tbl>
    <w:p>
      <w:pPr>
        <w:pStyle w:val="BodyText"/>
      </w:pPr>
      <w:r>
        <w:t xml:space="preserve">3. ITEMS ORDERED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SKU / Product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Line Total (GBP)</w:t>
            </w:r>
          </w:p>
        </w:tc>
      </w:tr>
      <w:tr>
        <w:tc>
          <w:tcPr/>
          <w:p>
            <w:pPr>
              <w:pStyle w:val="Compact"/>
              <w:jc w:val="left"/>
            </w:pPr>
            <w:r>
              <w:t xml:space="preserve">1</w:t>
            </w:r>
          </w:p>
        </w:tc>
        <w:tc>
          <w:tcPr/>
          <w:p>
            <w:pPr>
              <w:pStyle w:val="Compact"/>
              <w:jc w:val="left"/>
            </w:pPr>
            <w:r>
              <w:t xml:space="preserve">Amoxicillin 500mg Capsules (28s) – GPhC Approved</w:t>
            </w:r>
          </w:p>
        </w:tc>
        <w:tc>
          <w:tcPr/>
          <w:p>
            <w:pPr>
              <w:pStyle w:val="Compact"/>
              <w:jc w:val="left"/>
            </w:pPr>
            <w:r>
              <w:t xml:space="preserve">AMX-500-28</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12.45</w:t>
            </w:r>
          </w:p>
        </w:tc>
        <w:tc>
          <w:tcPr/>
          <w:p>
            <w:pPr>
              <w:pStyle w:val="Compact"/>
              <w:jc w:val="left"/>
            </w:pPr>
            <w:r>
              <w:t xml:space="preserve">2,490.00</w:t>
            </w:r>
          </w:p>
        </w:tc>
      </w:tr>
      <w:tr>
        <w:tc>
          <w:tcPr/>
          <w:p>
            <w:pPr>
              <w:pStyle w:val="Compact"/>
              <w:jc w:val="left"/>
            </w:pPr>
            <w:r>
              <w:t xml:space="preserve">2</w:t>
            </w:r>
          </w:p>
        </w:tc>
        <w:tc>
          <w:tcPr/>
          <w:p>
            <w:pPr>
              <w:pStyle w:val="Compact"/>
              <w:jc w:val="left"/>
            </w:pPr>
            <w:r>
              <w:t xml:space="preserve">Insulin Glargine 100 IU/mL Pen (5 pens)</w:t>
            </w:r>
          </w:p>
        </w:tc>
        <w:tc>
          <w:tcPr/>
          <w:p>
            <w:pPr>
              <w:pStyle w:val="Compact"/>
              <w:jc w:val="left"/>
            </w:pPr>
            <w:r>
              <w:t xml:space="preserve">INS-GLA-100-5</w:t>
            </w:r>
          </w:p>
        </w:tc>
        <w:tc>
          <w:tcPr/>
          <w:p>
            <w:pPr>
              <w:pStyle w:val="Compact"/>
              <w:jc w:val="left"/>
            </w:pPr>
            <w:r>
              <w:t xml:space="preserve">50</w:t>
            </w:r>
          </w:p>
        </w:tc>
        <w:tc>
          <w:tcPr/>
          <w:p>
            <w:pPr>
              <w:pStyle w:val="Compact"/>
              <w:jc w:val="left"/>
            </w:pPr>
            <w:r>
              <w:t xml:space="preserve">Packs</w:t>
            </w:r>
          </w:p>
        </w:tc>
        <w:tc>
          <w:tcPr/>
          <w:p>
            <w:pPr>
              <w:pStyle w:val="Compact"/>
              <w:jc w:val="left"/>
            </w:pPr>
            <w:r>
              <w:t xml:space="preserve">89.90</w:t>
            </w:r>
          </w:p>
        </w:tc>
        <w:tc>
          <w:tcPr/>
          <w:p>
            <w:pPr>
              <w:pStyle w:val="Compact"/>
              <w:jc w:val="left"/>
            </w:pPr>
            <w:r>
              <w:t xml:space="preserve">4,495.00</w:t>
            </w:r>
          </w:p>
        </w:tc>
      </w:tr>
      <w:tr>
        <w:tc>
          <w:tcPr/>
          <w:p>
            <w:pPr>
              <w:pStyle w:val="Compact"/>
              <w:jc w:val="left"/>
            </w:pPr>
            <w:r>
              <w:t xml:space="preserve">3</w:t>
            </w:r>
          </w:p>
        </w:tc>
        <w:tc>
          <w:tcPr/>
          <w:p>
            <w:pPr>
              <w:pStyle w:val="Compact"/>
              <w:jc w:val="left"/>
            </w:pPr>
            <w:r>
              <w:t xml:space="preserve">Pharmacist-Grade Digital Dispensing Scale (0.01g precision)</w:t>
            </w:r>
          </w:p>
        </w:tc>
        <w:tc>
          <w:tcPr/>
          <w:p>
            <w:pPr>
              <w:pStyle w:val="Compact"/>
              <w:jc w:val="left"/>
            </w:pPr>
            <w:r>
              <w:t xml:space="preserve">EQP-DS-001</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4</w:t>
            </w:r>
          </w:p>
        </w:tc>
        <w:tc>
          <w:tcPr/>
          <w:p>
            <w:pPr>
              <w:pStyle w:val="Compact"/>
              <w:jc w:val="left"/>
            </w:pPr>
            <w:r>
              <w:t xml:space="preserve">Refrigerated Storage Unit (2–8°C, 400L) – MHRA Compliant</w:t>
            </w:r>
          </w:p>
        </w:tc>
        <w:tc>
          <w:tcPr/>
          <w:p>
            <w:pPr>
              <w:pStyle w:val="Compact"/>
              <w:jc w:val="left"/>
            </w:pPr>
            <w:r>
              <w:t xml:space="preserve">EQP-REF-400</w:t>
            </w:r>
          </w:p>
        </w:tc>
        <w:tc>
          <w:tcPr/>
          <w:p>
            <w:pPr>
              <w:pStyle w:val="Compact"/>
              <w:jc w:val="left"/>
            </w:pPr>
            <w:r>
              <w:t xml:space="preserve">1</w:t>
            </w:r>
          </w:p>
        </w:tc>
        <w:tc>
          <w:tcPr/>
          <w:p>
            <w:pPr>
              <w:pStyle w:val="Compact"/>
              <w:jc w:val="left"/>
            </w:pPr>
            <w:r>
              <w:t xml:space="preserve">Unit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Pharmacist PPE Kit (N95 masks, nitrile gloves, gowns) – 12-month supply</w:t>
            </w:r>
          </w:p>
        </w:tc>
        <w:tc>
          <w:tcPr/>
          <w:p>
            <w:pPr>
              <w:pStyle w:val="Compact"/>
              <w:jc w:val="left"/>
            </w:pPr>
            <w:r>
              <w:t xml:space="preserve">PPE-KIT-12M</w:t>
            </w:r>
          </w:p>
        </w:tc>
        <w:tc>
          <w:tcPr/>
          <w:p>
            <w:pPr>
              <w:pStyle w:val="Compact"/>
              <w:jc w:val="left"/>
            </w:pPr>
            <w:r>
              <w:t xml:space="preserve">4</w:t>
            </w:r>
          </w:p>
        </w:tc>
        <w:tc>
          <w:tcPr/>
          <w:p>
            <w:pPr>
              <w:pStyle w:val="Compact"/>
              <w:jc w:val="left"/>
            </w:pPr>
            <w:r>
              <w:t xml:space="preserve">Kits</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6</w:t>
            </w:r>
          </w:p>
        </w:tc>
        <w:tc>
          <w:tcPr/>
          <w:p>
            <w:pPr>
              <w:pStyle w:val="Compact"/>
              <w:jc w:val="left"/>
            </w:pPr>
            <w:r>
              <w:t xml:space="preserve">Electronic Prescription Management Software Licence (Annual)</w:t>
            </w:r>
          </w:p>
        </w:tc>
        <w:tc>
          <w:tcPr/>
          <w:p>
            <w:pPr>
              <w:pStyle w:val="Compact"/>
              <w:jc w:val="left"/>
            </w:pPr>
            <w:r>
              <w:t xml:space="preserve">SFT-EPM-2025</w:t>
            </w:r>
          </w:p>
        </w:tc>
        <w:tc>
          <w:tcPr/>
          <w:p>
            <w:pPr>
              <w:pStyle w:val="Compact"/>
              <w:jc w:val="left"/>
            </w:pPr>
            <w:r>
              <w:t xml:space="preserve">1</w:t>
            </w:r>
          </w:p>
        </w:tc>
        <w:tc>
          <w:tcPr/>
          <w:p>
            <w:pPr>
              <w:pStyle w:val="Compact"/>
              <w:jc w:val="left"/>
            </w:pPr>
            <w:r>
              <w:t xml:space="preserve">Subscription</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7</w:t>
            </w:r>
          </w:p>
        </w:tc>
        <w:tc>
          <w:tcPr/>
          <w:p>
            <w:pPr>
              <w:pStyle w:val="Compact"/>
              <w:jc w:val="left"/>
            </w:pPr>
            <w:r>
              <w:t xml:space="preserve">Pharmacist Continuing Professional Development (CPD) Training Package</w:t>
            </w:r>
          </w:p>
        </w:tc>
        <w:tc>
          <w:tcPr/>
          <w:p>
            <w:pPr>
              <w:pStyle w:val="Compact"/>
              <w:jc w:val="left"/>
            </w:pPr>
            <w:r>
              <w:t xml:space="preserve">EDU-CPD-2025</w:t>
            </w:r>
          </w:p>
        </w:tc>
        <w:tc>
          <w:tcPr/>
          <w:p>
            <w:pPr>
              <w:pStyle w:val="Compact"/>
              <w:jc w:val="left"/>
            </w:pPr>
            <w:r>
              <w:t xml:space="preserve">3</w:t>
            </w:r>
          </w:p>
        </w:tc>
        <w:tc>
          <w:tcPr/>
          <w:p>
            <w:pPr>
              <w:pStyle w:val="Compact"/>
              <w:jc w:val="left"/>
            </w:pPr>
            <w:r>
              <w:t xml:space="preserve">Seats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8</w:t>
            </w:r>
          </w:p>
        </w:tc>
        <w:tc>
          <w:tcPr/>
          <w:p>
            <w:pPr>
              <w:pStyle w:val="Compact"/>
              <w:jc w:val="left"/>
            </w:pPr>
            <w:r>
              <w:t xml:space="preserve">Controlled Drug Register Books (Class A, B, C) – 2025 Edition</w:t>
            </w:r>
          </w:p>
        </w:tc>
        <w:tc>
          <w:tcPr/>
          <w:p>
            <w:pPr>
              <w:pStyle w:val="Compact"/>
              <w:jc w:val="left"/>
            </w:pPr>
            <w:r>
              <w:t xml:space="preserve">REG-CD-2025</w:t>
            </w:r>
          </w:p>
        </w:tc>
        <w:tc>
          <w:tcPr/>
          <w:p>
            <w:pPr>
              <w:pStyle w:val="Compact"/>
              <w:jc w:val="left"/>
            </w:pPr>
            <w:r>
              <w:t xml:space="preserve">10</w:t>
            </w:r>
          </w:p>
        </w:tc>
        <w:tc>
          <w:tcPr/>
          <w:p>
            <w:pPr>
              <w:pStyle w:val="Compact"/>
              <w:jc w:val="left"/>
            </w:pPr>
            <w:r>
              <w:t xml:space="preserve">Books</w:t>
            </w:r>
          </w:p>
        </w:tc>
        <w:tc>
          <w:tcPr/>
          <w:p>
            <w:pPr>
              <w:pStyle w:val="Compact"/>
              <w:jc w:val="left"/>
            </w:pPr>
            <w:r>
              <w:t xml:space="preserve">18.50</w:t>
            </w:r>
          </w:p>
        </w:tc>
        <w:tc>
          <w:tcPr/>
          <w:p>
            <w:pPr>
              <w:pStyle w:val="Compact"/>
              <w:jc w:val="left"/>
            </w:pPr>
            <w:r>
              <w:t xml:space="preserve">185.00</w:t>
            </w:r>
          </w:p>
        </w:tc>
      </w:tr>
      <w:tr>
        <w:tc>
          <w:tcPr>
            <w:gridSpan w:val="6"/>
          </w:tcPr>
          <w:p>
            <w:pPr>
              <w:pStyle w:val="Compact"/>
              <w:jc w:val="left"/>
            </w:pPr>
            <w:r>
              <w:t xml:space="preserve">Subtotal (excl. VAT)</w:t>
            </w:r>
          </w:p>
        </w:tc>
        <w:tc>
          <w:tcPr/>
          <w:p>
            <w:pPr>
              <w:pStyle w:val="Compact"/>
              <w:jc w:val="left"/>
            </w:pPr>
            <w:r>
              <w:t xml:space="preserve">18,200.00</w:t>
            </w:r>
          </w:p>
        </w:tc>
      </w:tr>
      <w:tr>
        <w:tc>
          <w:tcPr>
            <w:gridSpan w:val="6"/>
          </w:tcPr>
          <w:p>
            <w:pPr>
              <w:pStyle w:val="Compact"/>
              <w:jc w:val="left"/>
            </w:pPr>
            <w:r>
              <w:t xml:space="preserve">VAT @ 20%</w:t>
            </w:r>
          </w:p>
        </w:tc>
        <w:tc>
          <w:tcPr/>
          <w:p>
            <w:pPr>
              <w:pStyle w:val="Compact"/>
              <w:jc w:val="left"/>
            </w:pPr>
            <w:r>
              <w:t xml:space="preserve">3,640.00</w:t>
            </w:r>
          </w:p>
        </w:tc>
      </w:tr>
      <w:tr>
        <w:tc>
          <w:tcPr>
            <w:gridSpan w:val="6"/>
          </w:tcPr>
          <w:p>
            <w:pPr>
              <w:pStyle w:val="Compact"/>
              <w:jc w:val="left"/>
            </w:pPr>
            <w:r>
              <w:rPr>
                <w:bCs/>
                <w:b/>
              </w:rPr>
              <w:t xml:space="preserve">TOTAL AMOUNT DUE (GBP)</w:t>
            </w:r>
          </w:p>
        </w:tc>
        <w:tc>
          <w:tcPr/>
          <w:p>
            <w:pPr>
              <w:pStyle w:val="Compact"/>
              <w:jc w:val="left"/>
            </w:pPr>
            <w:r>
              <w:rPr>
                <w:bCs/>
                <w:b/>
              </w:rPr>
              <w:t xml:space="preserve">21,840.00</w:t>
            </w:r>
          </w:p>
        </w:tc>
      </w:tr>
    </w:tbl>
    <w:p>
      <w:pPr>
        <w:pStyle w:val="BodyText"/>
      </w:pPr>
      <w:r>
        <w:t xml:space="preserve">4. TERMS AND CONDITIONS</w:t>
      </w:r>
    </w:p>
    <w:p>
      <w:pPr>
        <w:numPr>
          <w:ilvl w:val="0"/>
          <w:numId w:val="1001"/>
        </w:numPr>
        <w:pStyle w:val="Compact"/>
      </w:pPr>
      <w:r>
        <w:t xml:space="preserve">This Purchase Order is issued in accordance with the Supply of Goods and Services Act 1982 and applicable United Kingdom commercial law. All transactions are governed by the laws of England and Wales.</w:t>
      </w:r>
    </w:p>
    <w:p>
      <w:pPr>
        <w:numPr>
          <w:ilvl w:val="0"/>
          <w:numId w:val="1001"/>
        </w:numPr>
        <w:pStyle w:val="Compact"/>
      </w:pPr>
      <w:r>
        <w:t xml:space="preserve">The Pharmacist (Purchaser) confirms that all pharmaceutical products ordered under this Purchase Order shall be sourced from MHRA-licensed wholesalers and shall comply with the Human Medicines Regulations 2012 as enforced in the United Kingdom.</w:t>
      </w:r>
    </w:p>
    <w:p>
      <w:pPr>
        <w:numPr>
          <w:ilvl w:val="0"/>
          <w:numId w:val="1001"/>
        </w:numPr>
        <w:pStyle w:val="Compact"/>
      </w:pPr>
      <w:r>
        <w:t xml:space="preserve">Delivery of all items listed in this Purchase Order must be made to the specified address in Manchester, United Kingdom, no later than the Required Delivery Date stated in Section 2. Late delivery beyond five (5) business days entitles the Pharmacist to cancel the affected line items without penalty.</w:t>
      </w:r>
    </w:p>
    <w:p>
      <w:pPr>
        <w:numPr>
          <w:ilvl w:val="0"/>
          <w:numId w:val="1001"/>
        </w:numPr>
        <w:pStyle w:val="Compact"/>
      </w:pPr>
      <w:r>
        <w:t xml:space="preserve">All refrigerated and temperature-sensitive pharmaceutical products must be transported in validated cold-chain packaging maintaining a temperature between 2°C and 8°C throughout transit to Manchester. A temperature log must accompany each refrigerated consignment.</w:t>
      </w:r>
    </w:p>
    <w:p>
      <w:pPr>
        <w:numPr>
          <w:ilvl w:val="0"/>
          <w:numId w:val="1001"/>
        </w:numPr>
        <w:pStyle w:val="Compact"/>
      </w:pPr>
      <w:r>
        <w:t xml:space="preserve">The Supplier warrants that all pharmaceutical products supplied under this Purchase Order are within their expiry date (minimum 18 months remaining at point of delivery) and bear valid GPhC and MHRA batch traceability documentation.</w:t>
      </w:r>
    </w:p>
    <w:p>
      <w:pPr>
        <w:numPr>
          <w:ilvl w:val="0"/>
          <w:numId w:val="1001"/>
        </w:numPr>
        <w:pStyle w:val="Compact"/>
      </w:pPr>
      <w:r>
        <w:t xml:space="preserve">Payment shall be made within thirty (30) calendar days of receipt of a valid tax invoice. The Pharmacist reserves the right to withhold payment for any items found to be damaged, expired, or non-conforming upon delivery inspection at the Manchester premises.</w:t>
      </w:r>
    </w:p>
    <w:p>
      <w:pPr>
        <w:numPr>
          <w:ilvl w:val="0"/>
          <w:numId w:val="1001"/>
        </w:numPr>
        <w:pStyle w:val="Compact"/>
      </w:pPr>
      <w:r>
        <w:t xml:space="preserve">Controlled drugs (Schedule 1–5) included in this Purchase Order shall be delivered in accordance with the Misuse of Drugs Regulations 2001. The Pharmacist shall sign for receipt of all controlled substances upon delivery, and the Supplier must provide a signed delivery note retained for a minimum of two years.</w:t>
      </w:r>
    </w:p>
    <w:p>
      <w:pPr>
        <w:numPr>
          <w:ilvl w:val="0"/>
          <w:numId w:val="1001"/>
        </w:numPr>
        <w:pStyle w:val="Compact"/>
      </w:pPr>
      <w:r>
        <w:t xml:space="preserve">This Purchase Order does not constitute a long-term supply agreement. Each subsequent order shall require a new Purchase Order issued by the Pharmacist. However, the Supplier agrees to maintain the listed pricing for a period of ninety (90) days from the date of this Purchase Order.</w:t>
      </w:r>
    </w:p>
    <w:p>
      <w:pPr>
        <w:numPr>
          <w:ilvl w:val="0"/>
          <w:numId w:val="1001"/>
        </w:numPr>
        <w:pStyle w:val="Compact"/>
      </w:pPr>
      <w:r>
        <w:t xml:space="preserve">Any disputes arising from this Purchase Order shall be resolved through mediation in Manchester, United Kingdom, before escalation to the courts of England and Wales. The parties agree to the jurisdiction of the Manchester County Court for any litigation.</w:t>
      </w:r>
    </w:p>
    <w:p>
      <w:pPr>
        <w:numPr>
          <w:ilvl w:val="0"/>
          <w:numId w:val="1001"/>
        </w:numPr>
        <w:pStyle w:val="Compact"/>
      </w:pPr>
      <w:r>
        <w:t xml:space="preserve">The Pharmacist confirms that this Purchase Order has been authorised in accordance with the practice's internal procurement policy and GPhC professional standards for pharmaceutical procurement in the United Kingdom.</w:t>
      </w:r>
    </w:p>
    <w:p>
      <w:pPr>
        <w:pStyle w:val="FirstParagraph"/>
      </w:pPr>
      <w:r>
        <w:t xml:space="preserve">5. AUTHORISATION AND SIGNATURES</w:t>
      </w:r>
    </w:p>
    <w:p>
      <w:pPr>
        <w:pStyle w:val="BodyText"/>
      </w:pPr>
      <w:r>
        <w:rPr>
          <w:bCs/>
          <w:b/>
        </w:rPr>
        <w:t xml:space="preserve">Authorised by (Purchaser):</w:t>
      </w:r>
    </w:p>
    <w:p>
      <w:pPr>
        <w:pStyle w:val="BodyText"/>
      </w:pPr>
      <w:r>
        <w:t xml:space="preserve">Dr. Eleanor Whitfield, BPharm, MPharm</w:t>
      </w:r>
    </w:p>
    <w:p>
      <w:pPr>
        <w:pStyle w:val="BodyText"/>
      </w:pPr>
      <w:r>
        <w:t xml:space="preserve">Principal Pharmacist</w:t>
      </w:r>
    </w:p>
    <w:p>
      <w:pPr>
        <w:pStyle w:val="BodyText"/>
      </w:pPr>
      <w:r>
        <w:t xml:space="preserve">Whitfield &amp; Associates Pharmacy, Manchester</w:t>
      </w:r>
    </w:p>
    <w:p>
      <w:pPr>
        <w:pStyle w:val="BodyText"/>
      </w:pPr>
      <w:r>
        <w:t xml:space="preserve">Signature &amp; Date</w:t>
      </w:r>
    </w:p>
    <w:p>
      <w:pPr>
        <w:pStyle w:val="BodyText"/>
      </w:pPr>
      <w:r>
        <w:rPr>
          <w:bCs/>
          <w:b/>
        </w:rPr>
        <w:t xml:space="preserve">Accepted by (Supplier):</w:t>
      </w:r>
    </w:p>
    <w:p>
      <w:pPr>
        <w:pStyle w:val="BodyText"/>
      </w:pPr>
      <w:r>
        <w:t xml:space="preserve">Mr. James Hartley</w:t>
      </w:r>
    </w:p>
    <w:p>
      <w:pPr>
        <w:pStyle w:val="BodyText"/>
      </w:pPr>
      <w:r>
        <w:t xml:space="preserve">Account Manager</w:t>
      </w:r>
    </w:p>
    <w:p>
      <w:pPr>
        <w:pStyle w:val="BodyText"/>
      </w:pPr>
      <w:r>
        <w:t xml:space="preserve">NorthWest Pharma Distribution Ltd., Manchester</w:t>
      </w:r>
    </w:p>
    <w:p>
      <w:pPr>
        <w:pStyle w:val="BodyText"/>
      </w:pPr>
      <w:r>
        <w:t xml:space="preserve">Signature &amp; Date</w:t>
      </w:r>
    </w:p>
    <w:p>
      <w:pPr>
        <w:pStyle w:val="BodyText"/>
      </w:pPr>
      <w:r>
        <w:t xml:space="preserve">This Purchase Order document was prepared for use in Manchester, United Kingdom. All references to the Pharmacist pertain to a registered professional pharmacist holding a valid GPhC licence. This document is valid for 30 days from the date of issue. For queries, contact the procurement department at Whitfield &amp; Associates Pharmacy, Manchester, United Kingdom.</w:t>
      </w:r>
    </w:p>
    <w:p>
      <w:pPr>
        <w:pStyle w:val="BodyText"/>
      </w:pPr>
      <w:r>
        <w:t xml:space="preserve">© 2025 Whitfield &amp; Associates Pharmacy. All rights reserved. Document ID: PO-MAN-2025-04872 |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Supply - United Kingdom Manchester</dc:title>
  <dc:creator/>
  <dc:language>en-GB</dc:language>
  <cp:keywords/>
  <dcterms:created xsi:type="dcterms:W3CDTF">2026-10-10T01:23:15Z</dcterms:created>
  <dcterms:modified xsi:type="dcterms:W3CDTF">2026-10-10T01:23:15Z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