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Plumber Services &amp; Plumbing Infrastructure Supply — Indonesia Jakarta</w:t>
      </w:r>
    </w:p>
    <w:p>
      <w:pPr>
        <w:pStyle w:val="BodyText"/>
      </w:pPr>
      <w:r>
        <w:t xml:space="preserve">PO No: PO-JKT-2025-04782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PO-JKT-2025-04782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30 June 2025</w:t>
            </w:r>
          </w:p>
        </w:tc>
      </w:tr>
      <w:tr>
        <w:tc>
          <w:tcPr/>
          <w:p>
            <w:pPr>
              <w:pStyle w:val="Compact"/>
              <w:jc w:val="left"/>
            </w:pPr>
            <w:r>
              <w:t xml:space="preserve">Payment Terms:</w:t>
            </w:r>
          </w:p>
        </w:tc>
        <w:tc>
          <w:tcPr/>
          <w:p>
            <w:pPr>
              <w:pStyle w:val="Compact"/>
              <w:jc w:val="left"/>
            </w:pPr>
            <w:r>
              <w:t xml:space="preserve">Net 30 days from invoice date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Location:</w:t>
            </w:r>
          </w:p>
        </w:tc>
        <w:tc>
          <w:tcPr/>
          <w:p>
            <w:pPr>
              <w:pStyle w:val="Compact"/>
              <w:jc w:val="left"/>
            </w:pPr>
            <w:r>
              <w:t xml:space="preserve">Jakarta, Indonesia</w:t>
            </w:r>
          </w:p>
        </w:tc>
      </w:tr>
      <w:tr>
        <w:tc>
          <w:tcPr/>
          <w:p>
            <w:pPr>
              <w:pStyle w:val="Compact"/>
              <w:jc w:val="left"/>
            </w:pPr>
            <w:r>
              <w:t xml:space="preserve">Site Address:</w:t>
            </w:r>
          </w:p>
        </w:tc>
        <w:tc>
          <w:tcPr/>
          <w:p>
            <w:pPr>
              <w:pStyle w:val="Compact"/>
              <w:jc w:val="left"/>
            </w:pPr>
            <w:r>
              <w:t xml:space="preserve">Jl. Jend. Sudirman Kav. 52-53, SCBD, Jakarta Selatan 12190</w:t>
            </w:r>
          </w:p>
        </w:tc>
      </w:tr>
      <w:tr>
        <w:tc>
          <w:tcPr/>
          <w:p>
            <w:pPr>
              <w:pStyle w:val="Compact"/>
              <w:jc w:val="left"/>
            </w:pPr>
            <w:r>
              <w:t xml:space="preserve">Project Name:</w:t>
            </w:r>
          </w:p>
        </w:tc>
        <w:tc>
          <w:tcPr/>
          <w:p>
            <w:pPr>
              <w:pStyle w:val="Compact"/>
              <w:jc w:val="left"/>
            </w:pPr>
            <w:r>
              <w:t xml:space="preserve">Meridian Tower Plumbing Overhaul</w:t>
            </w:r>
          </w:p>
        </w:tc>
      </w:tr>
      <w:tr>
        <w:tc>
          <w:tcPr/>
          <w:p>
            <w:pPr>
              <w:pStyle w:val="Compact"/>
              <w:jc w:val="left"/>
            </w:pPr>
            <w:r>
              <w:t xml:space="preserve">Valid Until:</w:t>
            </w:r>
          </w:p>
        </w:tc>
        <w:tc>
          <w:tcPr/>
          <w:p>
            <w:pPr>
              <w:pStyle w:val="Compact"/>
              <w:jc w:val="left"/>
            </w:pPr>
            <w:r>
              <w:t xml:space="preserve">14 July 2025</w:t>
            </w:r>
          </w:p>
        </w:tc>
      </w:tr>
    </w:tbl>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PT Meridian Property Management Indonesia</w:t>
            </w:r>
          </w:p>
        </w:tc>
      </w:tr>
      <w:tr>
        <w:tc>
          <w:tcPr/>
          <w:p>
            <w:pPr>
              <w:pStyle w:val="Compact"/>
              <w:jc w:val="left"/>
            </w:pPr>
            <w:r>
              <w:t xml:space="preserve">Address:</w:t>
            </w:r>
          </w:p>
        </w:tc>
        <w:tc>
          <w:tcPr/>
          <w:p>
            <w:pPr>
              <w:pStyle w:val="Compact"/>
              <w:jc w:val="left"/>
            </w:pPr>
            <w:r>
              <w:t xml:space="preserve">Menara Meridian, Lt. 28, Jl. Jend. Sudirman Kav. 52-53, Jakarta Selatan 12190, Indonesia</w:t>
            </w:r>
          </w:p>
        </w:tc>
      </w:tr>
      <w:tr>
        <w:tc>
          <w:tcPr/>
          <w:p>
            <w:pPr>
              <w:pStyle w:val="Compact"/>
              <w:jc w:val="left"/>
            </w:pPr>
            <w:r>
              <w:t xml:space="preserve">Tax ID (NPWP):</w:t>
            </w:r>
          </w:p>
        </w:tc>
        <w:tc>
          <w:tcPr/>
          <w:p>
            <w:pPr>
              <w:pStyle w:val="Compact"/>
              <w:jc w:val="left"/>
            </w:pPr>
            <w:r>
              <w:t xml:space="preserve">02.415.887.1-351.000</w:t>
            </w:r>
          </w:p>
        </w:tc>
      </w:tr>
      <w:tr>
        <w:tc>
          <w:tcPr/>
          <w:p>
            <w:pPr>
              <w:pStyle w:val="Compact"/>
              <w:jc w:val="left"/>
            </w:pPr>
            <w:r>
              <w:t xml:space="preserve">Contact Person:</w:t>
            </w:r>
          </w:p>
        </w:tc>
        <w:tc>
          <w:tcPr/>
          <w:p>
            <w:pPr>
              <w:pStyle w:val="Compact"/>
              <w:jc w:val="left"/>
            </w:pPr>
            <w:r>
              <w:t xml:space="preserve">Budi Santoso, Facilities Director</w:t>
            </w:r>
          </w:p>
        </w:tc>
      </w:tr>
      <w:tr>
        <w:tc>
          <w:tcPr/>
          <w:p>
            <w:pPr>
              <w:pStyle w:val="Compact"/>
              <w:jc w:val="left"/>
            </w:pPr>
            <w:r>
              <w:t xml:space="preserve">Email:</w:t>
            </w:r>
          </w:p>
        </w:tc>
        <w:tc>
          <w:tcPr/>
          <w:p>
            <w:pPr>
              <w:pStyle w:val="Compact"/>
              <w:jc w:val="left"/>
            </w:pPr>
            <w:r>
              <w:t xml:space="preserve">b.santoso@meridianprop.co.id</w:t>
            </w:r>
          </w:p>
        </w:tc>
      </w:tr>
      <w:tr>
        <w:tc>
          <w:tcPr/>
          <w:p>
            <w:pPr>
              <w:pStyle w:val="Compact"/>
              <w:jc w:val="left"/>
            </w:pPr>
            <w:r>
              <w:t xml:space="preserve">Phone:</w:t>
            </w:r>
          </w:p>
        </w:tc>
        <w:tc>
          <w:tcPr/>
          <w:p>
            <w:pPr>
              <w:pStyle w:val="Compact"/>
              <w:jc w:val="left"/>
            </w:pPr>
            <w:r>
              <w:t xml:space="preserve">+62 21 520 8844</w:t>
            </w:r>
          </w:p>
        </w:tc>
      </w:tr>
    </w:tbl>
    <w:p>
      <w:pPr>
        <w:pStyle w:val="BodyText"/>
      </w:pPr>
      <w:r>
        <w:t xml:space="preserve">2. Supplier / Service Provider (Plumber Contractor)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CV AquaFlow Plumbing Solutions Indonesia</w:t>
            </w:r>
          </w:p>
        </w:tc>
      </w:tr>
      <w:tr>
        <w:tc>
          <w:tcPr/>
          <w:p>
            <w:pPr>
              <w:pStyle w:val="Compact"/>
              <w:jc w:val="left"/>
            </w:pPr>
            <w:r>
              <w:t xml:space="preserve">Address:</w:t>
            </w:r>
          </w:p>
        </w:tc>
        <w:tc>
          <w:tcPr/>
          <w:p>
            <w:pPr>
              <w:pStyle w:val="Compact"/>
              <w:jc w:val="left"/>
            </w:pPr>
            <w:r>
              <w:t xml:space="preserve">Ruko Graha Cempaka Blok C-14, Jl. Cempaka Putih Tengah No. 88, Jakarta Pusat 10510, Indonesia</w:t>
            </w:r>
          </w:p>
        </w:tc>
      </w:tr>
      <w:tr>
        <w:tc>
          <w:tcPr/>
          <w:p>
            <w:pPr>
              <w:pStyle w:val="Compact"/>
              <w:jc w:val="left"/>
            </w:pPr>
            <w:r>
              <w:t xml:space="preserve">Tax ID (NPWP):</w:t>
            </w:r>
          </w:p>
        </w:tc>
        <w:tc>
          <w:tcPr/>
          <w:p>
            <w:pPr>
              <w:pStyle w:val="Compact"/>
              <w:jc w:val="left"/>
            </w:pPr>
            <w:r>
              <w:t xml:space="preserve">09.123.456.7-051.000</w:t>
            </w:r>
          </w:p>
        </w:tc>
      </w:tr>
      <w:tr>
        <w:tc>
          <w:tcPr/>
          <w:p>
            <w:pPr>
              <w:pStyle w:val="Compact"/>
              <w:jc w:val="left"/>
            </w:pPr>
            <w:r>
              <w:t xml:space="preserve">Contact Person:</w:t>
            </w:r>
          </w:p>
        </w:tc>
        <w:tc>
          <w:tcPr/>
          <w:p>
            <w:pPr>
              <w:pStyle w:val="Compact"/>
              <w:jc w:val="left"/>
            </w:pPr>
            <w:r>
              <w:t xml:space="preserve">Rina Wijaya, Lead Plumber &amp; Project Manager</w:t>
            </w:r>
          </w:p>
        </w:tc>
      </w:tr>
      <w:tr>
        <w:tc>
          <w:tcPr/>
          <w:p>
            <w:pPr>
              <w:pStyle w:val="Compact"/>
              <w:jc w:val="left"/>
            </w:pPr>
            <w:r>
              <w:t xml:space="preserve">Email:</w:t>
            </w:r>
          </w:p>
        </w:tc>
        <w:tc>
          <w:tcPr/>
          <w:p>
            <w:pPr>
              <w:pStyle w:val="Compact"/>
              <w:jc w:val="left"/>
            </w:pPr>
            <w:r>
              <w:t xml:space="preserve">r.wijaya@aquaflovid.co.id</w:t>
            </w:r>
          </w:p>
        </w:tc>
      </w:tr>
      <w:tr>
        <w:tc>
          <w:tcPr/>
          <w:p>
            <w:pPr>
              <w:pStyle w:val="Compact"/>
              <w:jc w:val="left"/>
            </w:pPr>
            <w:r>
              <w:t xml:space="preserve">Phone:</w:t>
            </w:r>
          </w:p>
        </w:tc>
        <w:tc>
          <w:tcPr/>
          <w:p>
            <w:pPr>
              <w:pStyle w:val="Compact"/>
              <w:jc w:val="left"/>
            </w:pPr>
            <w:r>
              <w:t xml:space="preserve">+62 812 3456 7890</w:t>
            </w:r>
          </w:p>
        </w:tc>
      </w:tr>
      <w:tr>
        <w:tc>
          <w:tcPr/>
          <w:p>
            <w:pPr>
              <w:pStyle w:val="Compact"/>
              <w:jc w:val="left"/>
            </w:pPr>
            <w:r>
              <w:t xml:space="preserve">License No.:</w:t>
            </w:r>
          </w:p>
        </w:tc>
        <w:tc>
          <w:tcPr/>
          <w:p>
            <w:pPr>
              <w:pStyle w:val="Compact"/>
              <w:jc w:val="left"/>
            </w:pPr>
            <w:r>
              <w:t xml:space="preserve">SBU-PLB-2024-008821 (Plumbing Work License, DKI Jakarta)</w:t>
            </w:r>
          </w:p>
        </w:tc>
      </w:tr>
    </w:tbl>
    <w:p>
      <w:pPr>
        <w:pStyle w:val="BodyText"/>
      </w:pPr>
      <w:r>
        <w:t xml:space="preserve">3. Scope of Work &amp; Line Items</w:t>
      </w:r>
    </w:p>
    <w:p>
      <w:pPr>
        <w:pStyle w:val="BodyText"/>
      </w:pPr>
      <w:r>
        <w:t xml:space="preserve">This Purchase Order is issued by PT Meridian Property Management Indonesia to engage CV AquaFlow Plumbing Solutions Indonesia as the contracted Plumber for the comprehensive plumbing infrastructure overhaul of the Meridian Tower, a 32-storey commercial building located in the heart of Indonesia Jakarta. The Plumber shall provide all labour, tools, equipment, and materials as specified below. All work shall comply with the Indonesian National Standard (SNI) for plumbing installations and the local building regulations of DKI Jakarta.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Work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Complete replacement of corroded galvanized steel water supply pipes (DN 25 &amp; DN 50) across floors 1–32, including all fittings, valves, and supports. Plumber to perform pressure testing at 1.5x working pressure.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Installation of 12 new commercial-grade stainless-steel water pumps (3-phase, 7.5 kW) in the mechanical room, including VFD controllers, base plates, and suction/discharge piping.</w:t>
            </w:r>
          </w:p>
        </w:tc>
        <w:tc>
          <w:tcPr/>
          <w:p>
            <w:pPr>
              <w:pStyle w:val="Compact"/>
              <w:jc w:val="left"/>
            </w:pPr>
            <w:r>
              <w:t xml:space="preserve">Set</w:t>
            </w:r>
          </w:p>
        </w:tc>
        <w:tc>
          <w:tcPr/>
          <w:p>
            <w:pPr>
              <w:pStyle w:val="Compact"/>
              <w:jc w:val="left"/>
            </w:pPr>
            <w:r>
              <w:t xml:space="preserve">12</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3</w:t>
            </w:r>
          </w:p>
        </w:tc>
        <w:tc>
          <w:tcPr/>
          <w:p>
            <w:pPr>
              <w:pStyle w:val="Compact"/>
              <w:jc w:val="left"/>
            </w:pPr>
            <w:r>
              <w:t xml:space="preserve">Replacement of all 180 sanitary fixtures (WC, urinals, basins) on floors 5–30 with water-efficient ceramic units (SNI certified). Plumber to handle demolition, supply, installation, and commissioning.</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3,200,000</w:t>
            </w:r>
          </w:p>
        </w:tc>
        <w:tc>
          <w:tcPr/>
          <w:p>
            <w:pPr>
              <w:pStyle w:val="Compact"/>
              <w:jc w:val="left"/>
            </w:pPr>
            <w:r>
              <w:t xml:space="preserve">576,000,000</w:t>
            </w:r>
          </w:p>
        </w:tc>
      </w:tr>
      <w:tr>
        <w:tc>
          <w:tcPr/>
          <w:p>
            <w:pPr>
              <w:pStyle w:val="Compact"/>
              <w:jc w:val="left"/>
            </w:pPr>
            <w:r>
              <w:t xml:space="preserve">4</w:t>
            </w:r>
          </w:p>
        </w:tc>
        <w:tc>
          <w:tcPr/>
          <w:p>
            <w:pPr>
              <w:pStyle w:val="Compact"/>
              <w:jc w:val="left"/>
            </w:pPr>
            <w:r>
              <w:t xml:space="preserve">Installation of a new 20,000-litre elevated water storage tank (food-grade polyethylene) on the roof structure, including inlet/outlet piping, overflow, and level sensors.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5</w:t>
            </w:r>
          </w:p>
        </w:tc>
        <w:tc>
          <w:tcPr/>
          <w:p>
            <w:pPr>
              <w:pStyle w:val="Compact"/>
              <w:jc w:val="left"/>
            </w:pPr>
            <w:r>
              <w:t xml:space="preserve">Complete drainage and sewage line inspection via CCTV, followed by jetting, repair of 14 identified blockages, and replacement of 60 metres of deteriorated PVC drainage pipe (DN 100 &amp; DN 150).</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128,000,000</w:t>
            </w:r>
          </w:p>
        </w:tc>
        <w:tc>
          <w:tcPr/>
          <w:p>
            <w:pPr>
              <w:pStyle w:val="Compact"/>
              <w:jc w:val="left"/>
            </w:pPr>
            <w:r>
              <w:t xml:space="preserve">128,000,000</w:t>
            </w:r>
          </w:p>
        </w:tc>
      </w:tr>
      <w:tr>
        <w:tc>
          <w:tcPr/>
          <w:p>
            <w:pPr>
              <w:pStyle w:val="Compact"/>
              <w:jc w:val="left"/>
            </w:pPr>
            <w:r>
              <w:t xml:space="preserve">6</w:t>
            </w:r>
          </w:p>
        </w:tc>
        <w:tc>
          <w:tcPr/>
          <w:p>
            <w:pPr>
              <w:pStyle w:val="Compact"/>
              <w:jc w:val="left"/>
            </w:pPr>
            <w:r>
              <w:t xml:space="preserve">Supply and installation of 45 new commercial kitchen gas lines (copper, DN 20) with individual shut-off valves, leak detection sensors, and compliance testing per SNI 03-6574-2001.</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7</w:t>
            </w:r>
          </w:p>
        </w:tc>
        <w:tc>
          <w:tcPr/>
          <w:p>
            <w:pPr>
              <w:pStyle w:val="Compact"/>
              <w:jc w:val="left"/>
            </w:pPr>
            <w:r>
              <w:t xml:space="preserve">Provision of 8 certified Plumber technicians and 2 apprentices for the full duration of the project (estimated 45 working days), including PPE, tooling, and site supervision.</w:t>
            </w:r>
          </w:p>
        </w:tc>
        <w:tc>
          <w:tcPr/>
          <w:p>
            <w:pPr>
              <w:pStyle w:val="Compact"/>
              <w:jc w:val="left"/>
            </w:pPr>
            <w:r>
              <w:t xml:space="preserve">Man-day</w:t>
            </w:r>
          </w:p>
        </w:tc>
        <w:tc>
          <w:tcPr/>
          <w:p>
            <w:pPr>
              <w:pStyle w:val="Compact"/>
              <w:jc w:val="left"/>
            </w:pPr>
            <w:r>
              <w:t xml:space="preserve">360</w:t>
            </w:r>
          </w:p>
        </w:tc>
        <w:tc>
          <w:tcPr/>
          <w:p>
            <w:pPr>
              <w:pStyle w:val="Compact"/>
              <w:jc w:val="left"/>
            </w:pPr>
            <w:r>
              <w:t xml:space="preserve">850,000</w:t>
            </w:r>
          </w:p>
        </w:tc>
        <w:tc>
          <w:tcPr/>
          <w:p>
            <w:pPr>
              <w:pStyle w:val="Compact"/>
              <w:jc w:val="left"/>
            </w:pPr>
            <w:r>
              <w:t xml:space="preserve">306,000,000</w:t>
            </w:r>
          </w:p>
        </w:tc>
      </w:tr>
      <w:tr>
        <w:tc>
          <w:tcPr/>
          <w:p>
            <w:pPr>
              <w:pStyle w:val="Compact"/>
              <w:jc w:val="left"/>
            </w:pPr>
            <w:r>
              <w:t xml:space="preserve">8</w:t>
            </w:r>
          </w:p>
        </w:tc>
        <w:tc>
          <w:tcPr/>
          <w:p>
            <w:pPr>
              <w:pStyle w:val="Compact"/>
              <w:jc w:val="left"/>
            </w:pPr>
            <w:r>
              <w:t xml:space="preserve">Post-completion 12-month warranty and maintenance package: quarterly inspections, emergency call-out (4-hour response within Indonesia Jakarta metro area), and minor repairs at no additional cost.</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2,164,500,000</w:t>
            </w:r>
          </w:p>
        </w:tc>
      </w:tr>
      <w:tr>
        <w:tc>
          <w:tcPr/>
          <w:p>
            <w:pPr>
              <w:pStyle w:val="Compact"/>
              <w:jc w:val="left"/>
            </w:pPr>
            <w:r>
              <w:t xml:space="preserve">VAT (PPN) 11%:</w:t>
            </w:r>
          </w:p>
        </w:tc>
        <w:tc>
          <w:tcPr/>
          <w:p>
            <w:pPr>
              <w:pStyle w:val="Compact"/>
              <w:jc w:val="right"/>
            </w:pPr>
            <w:r>
              <w:t xml:space="preserve">238,095,000</w:t>
            </w:r>
          </w:p>
        </w:tc>
      </w:tr>
      <w:tr>
        <w:tc>
          <w:tcPr/>
          <w:p>
            <w:pPr>
              <w:pStyle w:val="Compact"/>
              <w:jc w:val="left"/>
            </w:pPr>
            <w:r>
              <w:t xml:space="preserve">Withholding Tax (PPh 23) 2%:</w:t>
            </w:r>
          </w:p>
        </w:tc>
        <w:tc>
          <w:tcPr/>
          <w:p>
            <w:pPr>
              <w:pStyle w:val="Compact"/>
              <w:jc w:val="right"/>
            </w:pPr>
            <w:r>
              <w:t xml:space="preserve">(43,290,000)</w:t>
            </w:r>
          </w:p>
        </w:tc>
      </w:tr>
      <w:tr>
        <w:tc>
          <w:tcPr/>
          <w:p>
            <w:pPr>
              <w:pStyle w:val="Compact"/>
              <w:jc w:val="left"/>
            </w:pPr>
            <w:r>
              <w:t xml:space="preserve">Grand Total (IDR):</w:t>
            </w:r>
          </w:p>
        </w:tc>
        <w:tc>
          <w:tcPr/>
          <w:p>
            <w:pPr>
              <w:pStyle w:val="Compact"/>
              <w:jc w:val="right"/>
            </w:pPr>
            <w:r>
              <w:t xml:space="preserve">2,359,305,000</w:t>
            </w:r>
          </w:p>
        </w:tc>
      </w:tr>
    </w:tbl>
    <w:p>
      <w:pPr>
        <w:pStyle w:val="BodyText"/>
      </w:pPr>
      <w:r>
        <w:t xml:space="preserve">4. Terms and Conditions</w:t>
      </w:r>
    </w:p>
    <w:p>
      <w:pPr>
        <w:numPr>
          <w:ilvl w:val="0"/>
          <w:numId w:val="1001"/>
        </w:numPr>
        <w:pStyle w:val="Compact"/>
      </w:pPr>
      <w:r>
        <w:rPr>
          <w:bCs/>
          <w:b/>
        </w:rPr>
        <w:t xml:space="preserve">Delivery &amp; Commencement:</w:t>
      </w:r>
      <w:r>
        <w:t xml:space="preserve"> </w:t>
      </w:r>
      <w:r>
        <w:t xml:space="preserve">The Plumber shall mobilise all personnel and equipment to the project site in Indonesia Jakarta no later than 17 June 2025. Work shall commence within 48 hours of site access being granted by the Buyer.</w:t>
      </w:r>
    </w:p>
    <w:p>
      <w:pPr>
        <w:numPr>
          <w:ilvl w:val="0"/>
          <w:numId w:val="1001"/>
        </w:numPr>
        <w:pStyle w:val="Compact"/>
      </w:pPr>
      <w:r>
        <w:rPr>
          <w:bCs/>
          <w:b/>
        </w:rPr>
        <w:t xml:space="preserve">Compliance:</w:t>
      </w:r>
      <w:r>
        <w:t xml:space="preserve"> </w:t>
      </w:r>
      <w:r>
        <w:t xml:space="preserve">All plumbing work shall strictly adhere to SNI standards, the Indonesian Building Code (Peraturan Pemerintah No. 16/2021), and the local by-laws of DKI Jakarta. The Plumber is responsible for obtaining all necessary permits and inspections from the local Building Services Office (Dinas Bina Marga dan Tata Ruang).</w:t>
      </w:r>
    </w:p>
    <w:p>
      <w:pPr>
        <w:numPr>
          <w:ilvl w:val="0"/>
          <w:numId w:val="1001"/>
        </w:numPr>
        <w:pStyle w:val="Compact"/>
      </w:pPr>
      <w:r>
        <w:rPr>
          <w:bCs/>
          <w:b/>
        </w:rPr>
        <w:t xml:space="preserve">Payment Schedule:</w:t>
      </w:r>
      <w:r>
        <w:t xml:space="preserve"> </w:t>
      </w:r>
      <w:r>
        <w:t xml:space="preserve">30% advance payment upon signing of this Purchase Order; 40% upon completion of 60% of the physical work as verified by the Buyer's site engineer; 30% upon final handover, commissioning, and issuance of the Certificate of Completion.</w:t>
      </w:r>
    </w:p>
    <w:p>
      <w:pPr>
        <w:numPr>
          <w:ilvl w:val="0"/>
          <w:numId w:val="1001"/>
        </w:numPr>
        <w:pStyle w:val="Compact"/>
      </w:pPr>
      <w:r>
        <w:rPr>
          <w:bCs/>
          <w:b/>
        </w:rPr>
        <w:t xml:space="preserve">Warranty:</w:t>
      </w:r>
      <w:r>
        <w:t xml:space="preserve"> </w:t>
      </w:r>
      <w:r>
        <w:t xml:space="preserve">The Plumber guarantees all workmanship and materials for a minimum of 12 months from the date of final acceptance. Any defects arising within this period shall be rectified at the Plumber's sole cost within 7 working days of written notice.</w:t>
      </w:r>
    </w:p>
    <w:p>
      <w:pPr>
        <w:numPr>
          <w:ilvl w:val="0"/>
          <w:numId w:val="1001"/>
        </w:numPr>
        <w:pStyle w:val="Compact"/>
      </w:pPr>
      <w:r>
        <w:rPr>
          <w:bCs/>
          <w:b/>
        </w:rPr>
        <w:t xml:space="preserve">Insurance &amp; Liability:</w:t>
      </w:r>
      <w:r>
        <w:t xml:space="preserve"> </w:t>
      </w:r>
      <w:r>
        <w:t xml:space="preserve">The Plumber shall maintain comprehensive general liability insurance and workers' compensation coverage (BPJS Ketenagakerjaan) for all personnel on site. The Plumber assumes full liability for any damage to existing building structures, third-party property, or personal injury occurring during the execution of this Purchase Order.</w:t>
      </w:r>
    </w:p>
    <w:p>
      <w:pPr>
        <w:numPr>
          <w:ilvl w:val="0"/>
          <w:numId w:val="1001"/>
        </w:numPr>
        <w:pStyle w:val="Compact"/>
      </w:pPr>
      <w:r>
        <w:rPr>
          <w:bCs/>
          <w:b/>
        </w:rPr>
        <w:t xml:space="preserve">Health, Safety &amp; Environment:</w:t>
      </w:r>
      <w:r>
        <w:t xml:space="preserve"> </w:t>
      </w:r>
      <w:r>
        <w:t xml:space="preserve">The Plumber shall comply with all OHS (K3) regulations applicable in Indonesia Jakarta. A site-specific safety plan must be submitted to the Buyer prior to commencement. All hazardous waste (e.g., old pipe cuttings, chemical drain cleaners) shall be disposed of in accordance with Indonesian environmental regulations (UU No. 32/2009).</w:t>
      </w:r>
    </w:p>
    <w:p>
      <w:pPr>
        <w:numPr>
          <w:ilvl w:val="0"/>
          <w:numId w:val="1001"/>
        </w:numPr>
        <w:pStyle w:val="Compact"/>
      </w:pPr>
      <w:r>
        <w:rPr>
          <w:bCs/>
          <w:b/>
        </w:rPr>
        <w:t xml:space="preserve">Change Orders:</w:t>
      </w:r>
      <w:r>
        <w:t xml:space="preserve"> </w:t>
      </w:r>
      <w:r>
        <w:t xml:space="preserve">Any modification to the scope of work described in this Purchase Order must be documented in a written Change Order signed by both parties. No additional work shall be performed without prior written approval.</w:t>
      </w:r>
    </w:p>
    <w:p>
      <w:pPr>
        <w:numPr>
          <w:ilvl w:val="0"/>
          <w:numId w:val="1001"/>
        </w:numPr>
        <w:pStyle w:val="Compact"/>
      </w:pPr>
      <w:r>
        <w:rPr>
          <w:bCs/>
          <w:b/>
        </w:rPr>
        <w:t xml:space="preserve">Dispute Resolution:</w:t>
      </w:r>
      <w:r>
        <w:t xml:space="preserve"> </w:t>
      </w:r>
      <w:r>
        <w:t xml:space="preserve">Any disputes arising from this Purchase Order shall first be resolved through amicable negotiation. If unresolved within 30 days, the matter shall be referred to the Jakarta District Court (Pengadilan Negeri Jakarta Selatan) in accordance with Indonesian law.</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building's infrastructure plans, and any proprietary information disclosed during the course of the project.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w:t>
      </w:r>
    </w:p>
    <w:p>
      <w:pPr>
        <w:pStyle w:val="FirstParagraph"/>
      </w:pPr>
      <w:r>
        <w:t xml:space="preserve">5. Authorisation &amp; Acceptance</w:t>
      </w:r>
    </w:p>
    <w:p>
      <w:pPr>
        <w:pStyle w:val="BodyText"/>
      </w:pPr>
      <w:r>
        <w:t xml:space="preserve">By signing below, both parties acknowledge and agree to all terms, conditions, and specifications set forth in this Purchase Order for the Plumber services to be executed in Indonesia Jakarta.</w:t>
      </w:r>
    </w:p>
    <w:p>
      <w:pPr>
        <w:pStyle w:val="BodyText"/>
      </w:pPr>
      <w:r>
        <w:t xml:space="preserve">For and on behalf of the Buyer:</w:t>
      </w:r>
    </w:p>
    <w:p>
      <w:pPr>
        <w:pStyle w:val="BodyText"/>
      </w:pPr>
      <w:r>
        <w:t xml:space="preserve">PT Meridian Property Management Indonesia</w:t>
      </w:r>
    </w:p>
    <w:p>
      <w:pPr>
        <w:pStyle w:val="BodyText"/>
      </w:pPr>
      <w:r>
        <w:rPr>
          <w:bCs/>
          <w:b/>
        </w:rPr>
        <w:t xml:space="preserve">Budi Santoso</w:t>
      </w:r>
      <w:r>
        <w:br/>
      </w:r>
      <w:r>
        <w:t xml:space="preserve">Facilities Director</w:t>
      </w:r>
      <w:r>
        <w:br/>
      </w:r>
      <w:r>
        <w:t xml:space="preserve">Date: _______________</w:t>
      </w:r>
    </w:p>
    <w:p>
      <w:pPr>
        <w:pStyle w:val="BodyText"/>
      </w:pPr>
      <w:r>
        <w:t xml:space="preserve">For and on behalf of the Plumber / Supplier:</w:t>
      </w:r>
    </w:p>
    <w:p>
      <w:pPr>
        <w:pStyle w:val="BodyText"/>
      </w:pPr>
      <w:r>
        <w:t xml:space="preserve">CV AquaFlow Plumbing Solutions Indonesia</w:t>
      </w:r>
    </w:p>
    <w:p>
      <w:pPr>
        <w:pStyle w:val="BodyText"/>
      </w:pPr>
      <w:r>
        <w:rPr>
          <w:bCs/>
          <w:b/>
        </w:rPr>
        <w:t xml:space="preserve">Rina Wijaya</w:t>
      </w:r>
      <w:r>
        <w:br/>
      </w:r>
      <w:r>
        <w:t xml:space="preserve">Lead Plumber &amp; Project Manager</w:t>
      </w:r>
      <w:r>
        <w:br/>
      </w:r>
      <w:r>
        <w:t xml:space="preserve">Date: _______________</w:t>
      </w:r>
    </w:p>
    <w:p>
      <w:pPr>
        <w:pStyle w:val="BodyText"/>
      </w:pPr>
      <w:r>
        <w:t xml:space="preserve">This Purchase Order (PO-JKT-2025-04782) is a legally binding document issued under the laws of the Republic of Indonesia. It pertains to the engagement of a licensed Plumber for plumbing infrastructure services at a commercial property in Indonesia Jakarta. All amounts are stated in Indonesian Rupiah (IDR). This document is valid for a period of 30 calendar days from the date of issue. Unauthorised reproduction or distribution is prohibited. © 2025 PT Meridian Property Management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Indonesia Jakarta</dc:title>
  <dc:creator/>
  <dc:language>en</dc:language>
  <cp:keywords/>
  <dcterms:created xsi:type="dcterms:W3CDTF">2026-10-10T04:23:53Z</dcterms:created>
  <dcterms:modified xsi:type="dcterms:W3CDTF">2026-10-10T04:23:53Z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