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Commemorative</w:t>
      </w:r>
      <w:r>
        <w:t xml:space="preserve"> </w:t>
      </w:r>
      <w:r>
        <w:t xml:space="preserve">Collection</w:t>
      </w:r>
      <w:r>
        <w:t xml:space="preserve"> </w:t>
      </w:r>
      <w:r>
        <w:t xml:space="preserve">-</w:t>
      </w:r>
      <w:r>
        <w:t xml:space="preserve"> </w:t>
      </w:r>
      <w:r>
        <w:t xml:space="preserve">Guangzhou,</w:t>
      </w:r>
      <w:r>
        <w:t xml:space="preserve"> </w:t>
      </w:r>
      <w:r>
        <w:t xml:space="preserve">China</w:t>
      </w:r>
    </w:p>
    <w:bookmarkStart w:id="31" w:name="purchase-order"/>
    <w:p>
      <w:pPr>
        <w:pStyle w:val="Heading1"/>
      </w:pPr>
      <w:r>
        <w:t xml:space="preserve">PURCHASE ORDER</w:t>
      </w:r>
    </w:p>
    <w:p>
      <w:pPr>
        <w:pStyle w:val="FirstParagraph"/>
      </w:pPr>
      <w:r>
        <w:rPr>
          <w:bCs/>
          <w:b/>
        </w:rPr>
        <w:t xml:space="preserve">Document Type:</w:t>
      </w:r>
      <w:r>
        <w:t xml:space="preserve"> </w:t>
      </w:r>
      <w:r>
        <w:t xml:space="preserve">Purchase Order</w:t>
      </w:r>
      <w:r>
        <w:br/>
      </w:r>
      <w:r>
        <w:rPr>
          <w:bCs/>
          <w:b/>
        </w:rPr>
        <w:t xml:space="preserve">PO Number:</w:t>
      </w:r>
      <w:r>
        <w:t xml:space="preserve"> </w:t>
      </w:r>
      <w:r>
        <w:t xml:space="preserve">PO-GZ-2025-07842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Location of Use:</w:t>
      </w:r>
      <w:r>
        <w:t xml:space="preserve"> </w:t>
      </w:r>
      <w:r>
        <w:t xml:space="preserve">Guangzhou, China</w:t>
      </w:r>
      <w:r>
        <w:br/>
      </w:r>
      <w:r>
        <w:rPr>
          <w:bCs/>
          <w:b/>
        </w:rPr>
        <w:t xml:space="preserve">Reference Code:</w:t>
      </w:r>
      <w:r>
        <w:t xml:space="preserve"> </w:t>
      </w:r>
      <w:r>
        <w:t xml:space="preserve">GZ-POL-2025-0047</w:t>
      </w:r>
      <w:r>
        <w:br/>
      </w:r>
      <w:r>
        <w:rPr>
          <w:bCs/>
          <w:b/>
        </w:rPr>
        <w:t xml:space="preserve">Priority:</w:t>
      </w:r>
      <w:r>
        <w:t xml:space="preserve"> </w:t>
      </w:r>
      <w:r>
        <w:t xml:space="preserve">Standard</w:t>
      </w:r>
    </w:p>
    <w:bookmarkStart w:id="20"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Guangzhou Municipal Cultural Heritage Foundation</w:t>
            </w:r>
          </w:p>
        </w:tc>
        <w:tc>
          <w:tcPr/>
          <w:p>
            <w:pPr>
              <w:pStyle w:val="Compact"/>
              <w:jc w:val="left"/>
            </w:pPr>
            <w:r>
              <w:t xml:space="preserve">No. 288 Tianhe Road, Tianhe District, Guangzhou, Guangdong Province, China 510630</w:t>
            </w:r>
          </w:p>
        </w:tc>
        <w:tc>
          <w:tcPr/>
          <w:p>
            <w:pPr>
              <w:pStyle w:val="Compact"/>
              <w:jc w:val="left"/>
            </w:pPr>
            <w:r>
              <w:t xml:space="preserve">procurement@gzmcgf.cn / +86-20-8765-4321</w:t>
            </w:r>
          </w:p>
        </w:tc>
      </w:tr>
      <w:tr>
        <w:tc>
          <w:tcPr/>
          <w:p>
            <w:pPr>
              <w:pStyle w:val="Compact"/>
              <w:jc w:val="left"/>
            </w:pPr>
            <w:r>
              <w:rPr>
                <w:bCs/>
                <w:b/>
              </w:rPr>
              <w:t xml:space="preserve">Seller (Supplier)</w:t>
            </w:r>
          </w:p>
        </w:tc>
        <w:tc>
          <w:tcPr/>
          <w:p>
            <w:pPr>
              <w:pStyle w:val="Compact"/>
              <w:jc w:val="left"/>
            </w:pPr>
            <w:r>
              <w:t xml:space="preserve">Shenzhen Artisan Sculpture &amp; Fine Arts Co., Ltd.</w:t>
            </w:r>
          </w:p>
        </w:tc>
        <w:tc>
          <w:tcPr/>
          <w:p>
            <w:pPr>
              <w:pStyle w:val="Compact"/>
              <w:jc w:val="left"/>
            </w:pPr>
            <w:r>
              <w:t xml:space="preserve">Bldg. 12, Nanshan Industrial Park, Shenzhen, Guangdong Province, China 518057</w:t>
            </w:r>
          </w:p>
        </w:tc>
        <w:tc>
          <w:tcPr/>
          <w:p>
            <w:pPr>
              <w:pStyle w:val="Compact"/>
              <w:jc w:val="left"/>
            </w:pPr>
            <w:r>
              <w:t xml:space="preserve">sales@szartisan.com / +86-755-2345-6789</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Guangzhou Municipal Cultural Heritage Foundation to procure a complete set of commemorative items, sculptures, and archival reproductions related to a distinguished Politician who served in the Guangdong Provincial People's Congress between 1998 and 2012. The Politician in question made significant contributions to public infrastructure development, urban planning policy, and civic education programs throughout the Pearl River Delta region. This Purchase Order governs the acquisition, delivery, installation, and long-term maintenance of all items listed herein, all of which are intended for permanent display at the Guangzhou Civic History Museum located in Yuexiu District, Guangzhou, China.</w:t>
      </w:r>
    </w:p>
    <w:bookmarkEnd w:id="21"/>
    <w:bookmarkStart w:id="22" w:name="itemized-purchase-details"/>
    <w:p>
      <w:pPr>
        <w:pStyle w:val="Heading2"/>
      </w:pPr>
      <w:r>
        <w:t xml:space="preserve">3.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Life-size bronze statue of the Politician in formal civic attire, 180 cm height, cast in high-grade bronze with patina finish. Base: polished granite, 80 cm x 80 cm x 40 cm. Includes engraved plaque with the Politician's name, tenure dates, and a brief biographical summary in both Mandarin Chinese and English.</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Oil portrait of the Politician, 120 cm x 90 cm, framed in gilded oak. Depicts the Politician at the podium during the 2005 Guangdong Provincial Policy Address. Artist to be approved by the Foundation's Art Advisory Committee.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Archival reproduction set: 24 high-resolution photographic prints (A2 size, museum-grade archival paper) documenting key moments in the Politician's public service career in Guangzhou and surrounding municipalities.</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Interactive digital display kiosk (55-inch touchscreen) pre-loaded with a 45-minute documentary on the Politician's legislative achievements, policy initiatives, and community engagement programs in Guangzhou. Includes bilingual interface (Mandarin/English).</w:t>
            </w:r>
          </w:p>
        </w:tc>
        <w:tc>
          <w:tcPr/>
          <w:p>
            <w:pPr>
              <w:pStyle w:val="Compact"/>
              <w:jc w:val="left"/>
            </w:pPr>
            <w:r>
              <w:t xml:space="preserve">1</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05</w:t>
            </w:r>
          </w:p>
        </w:tc>
        <w:tc>
          <w:tcPr/>
          <w:p>
            <w:pPr>
              <w:pStyle w:val="Compact"/>
              <w:jc w:val="left"/>
            </w:pPr>
            <w:r>
              <w:t xml:space="preserve">Commemorative publication: "A Life in Public Service – The Politician's Legacy in Guangdong," 320-page hardcover, edition of 500 copies, printed on 120gsm cream paper with full-color interior. ISBN registration included.</w:t>
            </w:r>
          </w:p>
        </w:tc>
        <w:tc>
          <w:tcPr/>
          <w:p>
            <w:pPr>
              <w:pStyle w:val="Compact"/>
              <w:jc w:val="left"/>
            </w:pPr>
            <w:r>
              <w:t xml:space="preserve">500</w:t>
            </w:r>
          </w:p>
        </w:tc>
        <w:tc>
          <w:tcPr/>
          <w:p>
            <w:pPr>
              <w:pStyle w:val="Compact"/>
              <w:jc w:val="left"/>
            </w:pPr>
            <w:r>
              <w:t xml:space="preserve">88.00</w:t>
            </w:r>
          </w:p>
        </w:tc>
        <w:tc>
          <w:tcPr/>
          <w:p>
            <w:pPr>
              <w:pStyle w:val="Compact"/>
              <w:jc w:val="left"/>
            </w:pPr>
            <w:r>
              <w:t xml:space="preserve">44,000.00</w:t>
            </w:r>
          </w:p>
        </w:tc>
      </w:tr>
      <w:tr>
        <w:tc>
          <w:tcPr/>
          <w:p>
            <w:pPr>
              <w:pStyle w:val="Compact"/>
              <w:jc w:val="left"/>
            </w:pPr>
            <w:r>
              <w:t xml:space="preserve">06</w:t>
            </w:r>
          </w:p>
        </w:tc>
        <w:tc>
          <w:tcPr/>
          <w:p>
            <w:pPr>
              <w:pStyle w:val="Compact"/>
              <w:jc w:val="left"/>
            </w:pPr>
            <w:r>
              <w:t xml:space="preserve">Installation, transport, and insurance services: Full logistics from Shenzhen workshop to Guangzhou Civic History Museum, including climate-controlled transport, professional installation of the bronze statue and portrait, and all-in transit insurance coverage.</w:t>
            </w:r>
          </w:p>
        </w:tc>
        <w:tc>
          <w:tcPr/>
          <w:p>
            <w:pPr>
              <w:pStyle w:val="Compact"/>
              <w:jc w:val="left"/>
            </w:pPr>
            <w:r>
              <w:t xml:space="preserve">1</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07</w:t>
            </w:r>
          </w:p>
        </w:tc>
        <w:tc>
          <w:tcPr/>
          <w:p>
            <w:pPr>
              <w:pStyle w:val="Compact"/>
              <w:jc w:val="left"/>
            </w:pPr>
            <w:r>
              <w:t xml:space="preserve">Five-year maintenance and conservation contract: Annual inspection of the bronze statue, touch-up of patina, cleaning of the oil portrait, software updates for the digital kiosk, and replacement of any damaged archival prints.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bookmarkEnd w:id="22"/>
    <w:bookmarkStart w:id="23" w:name="total-purchase-order-value"/>
    <w:p>
      <w:pPr>
        <w:pStyle w:val="Heading2"/>
      </w:pPr>
      <w:r>
        <w:t xml:space="preserve">4. Total Purchase Order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Subtotal (CNY)</w:t>
            </w:r>
          </w:p>
        </w:tc>
        <w:tc>
          <w:tcPr/>
          <w:p>
            <w:pPr>
              <w:pStyle w:val="Compact"/>
              <w:jc w:val="left"/>
            </w:pPr>
            <w:r>
              <w:t xml:space="preserve">VAT (13%) (CNY)</w:t>
            </w:r>
          </w:p>
        </w:tc>
        <w:tc>
          <w:tcPr/>
          <w:p>
            <w:pPr>
              <w:pStyle w:val="Compact"/>
              <w:jc w:val="left"/>
            </w:pPr>
            <w:r>
              <w:t xml:space="preserve">Grand Total (CNY)</w:t>
            </w:r>
          </w:p>
        </w:tc>
      </w:tr>
      <w:tr>
        <w:tc>
          <w:tcPr/>
          <w:p>
            <w:pPr>
              <w:pStyle w:val="Compact"/>
              <w:jc w:val="left"/>
            </w:pPr>
            <w:r>
              <w:t xml:space="preserve">415,500.00</w:t>
            </w:r>
          </w:p>
        </w:tc>
        <w:tc>
          <w:tcPr/>
          <w:p>
            <w:pPr>
              <w:pStyle w:val="Compact"/>
              <w:jc w:val="left"/>
            </w:pPr>
            <w:r>
              <w:t xml:space="preserve">54,015.00</w:t>
            </w:r>
          </w:p>
        </w:tc>
        <w:tc>
          <w:tcPr/>
          <w:p>
            <w:pPr>
              <w:pStyle w:val="Compact"/>
              <w:jc w:val="left"/>
            </w:pPr>
            <w:r>
              <w:rPr>
                <w:bCs/>
                <w:b/>
              </w:rPr>
              <w:t xml:space="preserve">469,515.00</w:t>
            </w:r>
          </w:p>
        </w:tc>
      </w:tr>
    </w:tbl>
    <w:p>
      <w:pPr>
        <w:pStyle w:val="BodyText"/>
      </w:pPr>
      <w:r>
        <w:rPr>
          <w:iCs/>
          <w:i/>
        </w:rPr>
        <w:t xml:space="preserve">Amount in words: Four Hundred Sixty-Nine Thousand Five Hundred Fifteen Yuan, Zero Jiao, Zero Fen.</w:t>
      </w:r>
    </w:p>
    <w:bookmarkEnd w:id="23"/>
    <w:bookmarkStart w:id="24" w:name="delivery-and-installation-terms"/>
    <w:p>
      <w:pPr>
        <w:pStyle w:val="Heading2"/>
      </w:pPr>
      <w:r>
        <w:t xml:space="preserve">5. Delivery and Installation Terms</w:t>
      </w:r>
    </w:p>
    <w:p>
      <w:pPr>
        <w:pStyle w:val="FirstParagraph"/>
      </w:pPr>
      <w:r>
        <w:t xml:space="preserve">All items covered under this Purchase Order shall be delivered to the Guangzhou Civic History Museum, No. 2 Yuexiu Park South Road, Yuexiu District, Guangzhou, Guangdong Province, China. The Seller shall coordinate delivery with the Foundation's facilities team no fewer than ten (10) business days in advance. The complete delivery and installation of all items, including the bronze statue of the Politician, the portrait, the digital kiosk, and the archival materials, must be completed no later than August 30, 2025. The Seller bears full responsibility for safe transport within China and assumes all risk of loss or damage until items are formally accepted by the Foundation's receiving officer at the Guangzhou site.</w:t>
      </w:r>
    </w:p>
    <w:bookmarkEnd w:id="24"/>
    <w:bookmarkStart w:id="25" w:name="payment-terms"/>
    <w:p>
      <w:pPr>
        <w:pStyle w:val="Heading2"/>
      </w:pPr>
      <w:r>
        <w:t xml:space="preserve">6. Payment Terms</w:t>
      </w:r>
    </w:p>
    <w:p>
      <w:pPr>
        <w:pStyle w:val="FirstParagraph"/>
      </w:pPr>
      <w:r>
        <w:t xml:space="preserve">Payment shall be made via bank transfer to the Seller's designated account in accordance with the following schedule: (a) 30% advance payment (CNY 140,854.50) within five (5) business days of mutual signature of this Purchase Order; (b) 50% progress payment (CNY 234,757.50) upon completion of fabrication and prior to shipment from Shenzhen; (c) 20% final payment (CNY 93,903.00) within fifteen (15) business days following successful installation and written acceptance at the Guangzhou venue. All payments are denominated in Chinese Yuan (CNY) and subject to applicable Chinese tax regulations.</w:t>
      </w:r>
    </w:p>
    <w:bookmarkEnd w:id="25"/>
    <w:bookmarkStart w:id="26" w:name="quality-assurance-and-acceptance"/>
    <w:p>
      <w:pPr>
        <w:pStyle w:val="Heading2"/>
      </w:pPr>
      <w:r>
        <w:t xml:space="preserve">7. Quality Assurance and Acceptance</w:t>
      </w:r>
    </w:p>
    <w:p>
      <w:pPr>
        <w:pStyle w:val="FirstParagraph"/>
      </w:pPr>
      <w:r>
        <w:t xml:space="preserve">The Seller warrants that all items, particularly the bronze statue and oil portrait of the Politician, shall conform to the specifications, reference photographs, and dimensional drawings attached as Appendix A to this Purchase Order. The Foundation reserves the right to inspect and test all deliverables upon arrival in Guangzhou. Any item found to be defective, damaged, or non-conforming shall be repaired or replaced by the Seller at no additional cost within twenty (20) business days of the written notice of non-conformance.</w:t>
      </w:r>
    </w:p>
    <w:bookmarkEnd w:id="26"/>
    <w:bookmarkStart w:id="27" w:name="intellectual-property-and-usage-rights"/>
    <w:p>
      <w:pPr>
        <w:pStyle w:val="Heading2"/>
      </w:pPr>
      <w:r>
        <w:t xml:space="preserve">8. Intellectual Property and Usage Rights</w:t>
      </w:r>
    </w:p>
    <w:p>
      <w:pPr>
        <w:pStyle w:val="FirstParagraph"/>
      </w:pPr>
      <w:r>
        <w:t xml:space="preserve">The Seller grants the Foundation a perpetual, non-exclusive license to display, reproduce, and distribute the commemorative items and publications related to the Politician for educational, cultural, and public exhibition purposes within Guangzhou and throughout China. The Seller confirms that all likenesses, photographs, and biographical content used in connection with the Politician have been duly authorized by the Politician's estate or designated representatives in writing.</w:t>
      </w:r>
    </w:p>
    <w:bookmarkEnd w:id="27"/>
    <w:bookmarkStart w:id="28"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laws of the People's Republic of China. Any dispute arising from or in connection with this Purchase Order shall first be resolved through amicable negotiation. If negotiation fails within thirty (30) days, the dispute shall be submitted to the Guangzhou Arbitration Commission for arbitration in Guangzhou, China. The arbitral award shall be final and binding upon both parties.</w:t>
      </w:r>
    </w:p>
    <w:bookmarkEnd w:id="28"/>
    <w:bookmarkStart w:id="29" w:name="general-provisions"/>
    <w:p>
      <w:pPr>
        <w:pStyle w:val="Heading2"/>
      </w:pPr>
      <w:r>
        <w:t xml:space="preserve">10. General Provisions</w:t>
      </w:r>
    </w:p>
    <w:p>
      <w:pPr>
        <w:pStyle w:val="FirstParagraph"/>
      </w:pPr>
      <w:r>
        <w:t xml:space="preserve">This Purchase Order constitutes the entire agreement between the parties with respect to the subject matter hereof. No modification or amendment shall be valid unless made in writing and signed by authorized representatives of both parties. This Purchase Order may not be assigned by either party without the prior written consent of the other. In the event of force majeure, the affected party shall notify the other within five (5) business days, and the delivery timeline shall be extended by a period equal to the duration of the force majeure event.</w:t>
      </w:r>
    </w:p>
    <w:bookmarkEnd w:id="29"/>
    <w:bookmarkStart w:id="30" w:name="authorization-and-signatures"/>
    <w:p>
      <w:pPr>
        <w:pStyle w:val="Heading2"/>
      </w:pPr>
      <w:r>
        <w:t xml:space="preserve">11. Authorization and Signatures</w:t>
      </w:r>
    </w:p>
    <w:p>
      <w:pPr>
        <w:pStyle w:val="FirstParagraph"/>
      </w:pPr>
      <w:r>
        <w:rPr>
          <w:bCs/>
          <w:b/>
        </w:rPr>
        <w:t xml:space="preserve">For and on behalf of the Buyer:</w:t>
      </w:r>
      <w:r>
        <w:br/>
      </w:r>
      <w:r>
        <w:br/>
      </w:r>
      <w:r>
        <w:t xml:space="preserve">Name: Chen Weiming</w:t>
      </w:r>
      <w:r>
        <w:br/>
      </w:r>
      <w:r>
        <w:t xml:space="preserve">Title: Director of Procurement, Guangzhou Municipal Cultural Heritage Foundation</w:t>
      </w:r>
      <w:r>
        <w:br/>
      </w:r>
      <w:r>
        <w:t xml:space="preserve">Date: _______________________</w:t>
      </w:r>
      <w:r>
        <w:br/>
      </w:r>
      <w:r>
        <w:t xml:space="preserve">Signature: _______________________</w:t>
      </w:r>
      <w:r>
        <w:br/>
      </w:r>
      <w:r>
        <w:t xml:space="preserve">Official Seal:</w:t>
      </w:r>
    </w:p>
    <w:p>
      <w:pPr>
        <w:pStyle w:val="BodyText"/>
      </w:pPr>
      <w:r>
        <w:rPr>
          <w:bCs/>
          <w:b/>
        </w:rPr>
        <w:t xml:space="preserve">For and on behalf of the Seller:</w:t>
      </w:r>
      <w:r>
        <w:br/>
      </w:r>
      <w:r>
        <w:br/>
      </w:r>
      <w:r>
        <w:t xml:space="preserve">Name: Liu Jianhua</w:t>
      </w:r>
      <w:r>
        <w:br/>
      </w:r>
      <w:r>
        <w:t xml:space="preserve">Title: General Manager, Shenzhen Artisan Sculpture &amp; Fine Arts Co., Ltd.</w:t>
      </w:r>
      <w:r>
        <w:br/>
      </w:r>
      <w:r>
        <w:t xml:space="preserve">Date: _______________________</w:t>
      </w:r>
      <w:r>
        <w:br/>
      </w:r>
      <w:r>
        <w:t xml:space="preserve">Signature: _______________________</w:t>
      </w:r>
      <w:r>
        <w:br/>
      </w:r>
      <w:r>
        <w:t xml:space="preserve">Official Seal:</w:t>
      </w:r>
    </w:p>
    <w:p>
      <w:pPr>
        <w:pStyle w:val="BodyText"/>
      </w:pPr>
      <w:r>
        <w:rPr>
          <w:bCs/>
          <w:b/>
        </w:rPr>
        <w:t xml:space="preserve">Document Reference:</w:t>
      </w:r>
      <w:r>
        <w:t xml:space="preserve"> </w:t>
      </w:r>
      <w:r>
        <w:t xml:space="preserve">PO-GZ-2025-07842 |</w:t>
      </w:r>
      <w:r>
        <w:t xml:space="preserve"> </w:t>
      </w:r>
      <w:r>
        <w:rPr>
          <w:bCs/>
          <w:b/>
        </w:rPr>
        <w:t xml:space="preserve">Issued in:</w:t>
      </w:r>
      <w:r>
        <w:t xml:space="preserve"> </w:t>
      </w:r>
      <w:r>
        <w:t xml:space="preserve">Guangzhou, China |</w:t>
      </w:r>
      <w:r>
        <w:t xml:space="preserve"> </w:t>
      </w:r>
      <w:r>
        <w:rPr>
          <w:bCs/>
          <w:b/>
        </w:rPr>
        <w:t xml:space="preserve">Page 1 of 1</w:t>
      </w:r>
      <w:r>
        <w:br/>
      </w:r>
      <w:r>
        <w:t xml:space="preserve">This Purchase Order is valid only when bearing the official seals and signatures of both parties. Unauthorized reproduction or distribution of this document is prohibited under applicable Chinese commercial law.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Commemorative Collection - Guangzhou, China</dc:title>
  <dc:creator/>
  <dc:language>en</dc:language>
  <cp:keywords/>
  <dcterms:created xsi:type="dcterms:W3CDTF">2026-10-10T04:13:41Z</dcterms:created>
  <dcterms:modified xsi:type="dcterms:W3CDTF">2026-10-10T04:13:41Z</dcterms:modified>
</cp:coreProperties>
</file>

<file path=docProps/custom.xml><?xml version="1.0" encoding="utf-8"?>
<Properties xmlns="http://schemas.openxmlformats.org/officeDocument/2006/custom-properties" xmlns:vt="http://schemas.openxmlformats.org/officeDocument/2006/docPropsVTypes"/>
</file>