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Office of the Honorable Politician, Tehran Municipal Assembly</w:t>
      </w:r>
    </w:p>
    <w:p>
      <w:pPr>
        <w:pStyle w:val="BodyText"/>
      </w:pPr>
      <w:r>
        <w:t xml:space="preserve">Republic of Iran — Tehran, Capital Province</w:t>
      </w:r>
    </w:p>
    <w:bookmarkEnd w:id="20"/>
    <w:p>
      <w:pPr>
        <w:pStyle w:val="BodyText"/>
      </w:pPr>
      <w:r>
        <w:t xml:space="preserve">PO No.: IR-THR-2025-04782</w:t>
      </w:r>
      <w:r>
        <w:br/>
      </w:r>
      <w:r>
        <w:t xml:space="preserve">Date of Issue: 14 June 2025 (23 Khordad 1404)</w:t>
      </w:r>
      <w:r>
        <w:br/>
      </w:r>
      <w:r>
        <w:t xml:space="preserve">Valid Until: 14 July 2025</w:t>
      </w:r>
    </w:p>
    <w:bookmarkStart w:id="21" w:name="issuing-authority-buyer"/>
    <w:p>
      <w:pPr>
        <w:pStyle w:val="Heading3"/>
      </w:pPr>
      <w:r>
        <w:t xml:space="preserve">Issuing Authority (Buyer)</w:t>
      </w:r>
    </w:p>
    <w:p>
      <w:pPr>
        <w:pStyle w:val="FirstParagraph"/>
      </w:pPr>
      <w:r>
        <w:t xml:space="preserve">Entity:</w:t>
      </w:r>
      <w:r>
        <w:t xml:space="preserve"> </w:t>
      </w:r>
      <w:r>
        <w:t xml:space="preserve">Office of the Honorable Politician, Tehran Municipal Assembly</w:t>
      </w:r>
    </w:p>
    <w:p>
      <w:pPr>
        <w:pStyle w:val="BodyText"/>
      </w:pPr>
      <w:r>
        <w:t xml:space="preserve">Address:</w:t>
      </w:r>
      <w:r>
        <w:t xml:space="preserve"> </w:t>
      </w:r>
      <w:r>
        <w:t xml:space="preserve">12, Vali-e-Asr Street, District 1, Tehran, Iran</w:t>
      </w:r>
    </w:p>
    <w:p>
      <w:pPr>
        <w:pStyle w:val="BodyText"/>
      </w:pPr>
      <w:r>
        <w:t xml:space="preserve">Contact:</w:t>
      </w:r>
      <w:r>
        <w:t xml:space="preserve"> </w:t>
      </w:r>
      <w:r>
        <w:t xml:space="preserve">Procurement Division, Ext. 4421</w:t>
      </w:r>
    </w:p>
    <w:p>
      <w:pPr>
        <w:pStyle w:val="BodyText"/>
      </w:pPr>
      <w:r>
        <w:t xml:space="preserve">Authorized Signatory:</w:t>
      </w:r>
      <w:r>
        <w:t xml:space="preserve"> </w:t>
      </w:r>
      <w:r>
        <w:t xml:space="preserve">Dr. Reza Karimi, Chief of Staff</w:t>
      </w:r>
    </w:p>
    <w:p>
      <w:pPr>
        <w:pStyle w:val="BodyText"/>
      </w:pPr>
      <w:r>
        <w:t xml:space="preserve">Tax Registration:</w:t>
      </w:r>
      <w:r>
        <w:t xml:space="preserve"> </w:t>
      </w:r>
      <w:r>
        <w:t xml:space="preserve">IR-THR-88214567</w:t>
      </w:r>
    </w:p>
    <w:bookmarkEnd w:id="21"/>
    <w:bookmarkStart w:id="22" w:name="supplier-seller"/>
    <w:p>
      <w:pPr>
        <w:pStyle w:val="Heading3"/>
      </w:pPr>
      <w:r>
        <w:t xml:space="preserve">Supplier (Seller)</w:t>
      </w:r>
    </w:p>
    <w:p>
      <w:pPr>
        <w:pStyle w:val="FirstParagraph"/>
      </w:pPr>
      <w:r>
        <w:t xml:space="preserve">Entity:</w:t>
      </w:r>
      <w:r>
        <w:t xml:space="preserve"> </w:t>
      </w:r>
      <w:r>
        <w:t xml:space="preserve">Persia Office Solutions Co., Ltd.</w:t>
      </w:r>
    </w:p>
    <w:p>
      <w:pPr>
        <w:pStyle w:val="BodyText"/>
      </w:pPr>
      <w:r>
        <w:t xml:space="preserve">Address:</w:t>
      </w:r>
      <w:r>
        <w:t xml:space="preserve"> </w:t>
      </w:r>
      <w:r>
        <w:t xml:space="preserve">45, Enghelab Avenue, Valiasr, Tehran, Iran</w:t>
      </w:r>
    </w:p>
    <w:p>
      <w:pPr>
        <w:pStyle w:val="BodyText"/>
      </w:pPr>
      <w:r>
        <w:t xml:space="preserve">Contact:</w:t>
      </w:r>
      <w:r>
        <w:t xml:space="preserve"> </w:t>
      </w:r>
      <w:r>
        <w:t xml:space="preserve">+98-21-8877-6655</w:t>
      </w:r>
    </w:p>
    <w:p>
      <w:pPr>
        <w:pStyle w:val="BodyText"/>
      </w:pPr>
      <w:r>
        <w:t xml:space="preserve">Account Manager:</w:t>
      </w:r>
      <w:r>
        <w:t xml:space="preserve"> </w:t>
      </w:r>
      <w:r>
        <w:t xml:space="preserve">Ms. Fatemeh Ahmadi</w:t>
      </w:r>
    </w:p>
    <w:p>
      <w:pPr>
        <w:pStyle w:val="BodyText"/>
      </w:pPr>
      <w:r>
        <w:t xml:space="preserve">Tax Registration:</w:t>
      </w:r>
      <w:r>
        <w:t xml:space="preserve"> </w:t>
      </w:r>
      <w:r>
        <w:t xml:space="preserve">IR-THR-99325678</w:t>
      </w:r>
    </w:p>
    <w:bookmarkEnd w:id="22"/>
    <w:bookmarkStart w:id="24" w:name="itemized-purchase-details"/>
    <w:p>
      <w:pPr>
        <w:pStyle w:val="Heading2"/>
      </w:pPr>
      <w:r>
        <w:t xml:space="preserve">ITEMIZED PURCHASE DETAILS</w:t>
      </w:r>
    </w:p>
    <w:p>
      <w:pPr>
        <w:pStyle w:val="FirstParagraph"/>
      </w:pPr>
      <w:r>
        <w:t xml:space="preserve">This Purchase Order is issued by the Office of the Honorable Politician representing the citizens of Tehran in the Municipal Assembly. All items listed below are procured for official use within the politician's legislative office located in central Tehran, Iran, and are subject to the financial oversight of the Tehran Municipal Budget Committee.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Executive Desk, Solid Walnut</w:t>
            </w:r>
          </w:p>
        </w:tc>
        <w:tc>
          <w:tcPr/>
          <w:p>
            <w:pPr>
              <w:pStyle w:val="Compact"/>
              <w:jc w:val="left"/>
            </w:pPr>
            <w:r>
              <w:t xml:space="preserve">220cm x 110cm, Tehran municipal standard</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Legislative Briefcase, Leather</w:t>
            </w:r>
          </w:p>
        </w:tc>
        <w:tc>
          <w:tcPr/>
          <w:p>
            <w:pPr>
              <w:pStyle w:val="Compact"/>
              <w:jc w:val="left"/>
            </w:pPr>
            <w:r>
              <w:t xml:space="preserve">Full-grain Persian leather, gold-embossed seal</w:t>
            </w:r>
          </w:p>
        </w:tc>
        <w:tc>
          <w:tcPr/>
          <w:p>
            <w:pPr>
              <w:pStyle w:val="Compact"/>
              <w:jc w:val="left"/>
            </w:pPr>
            <w:r>
              <w:t xml:space="preserve">2</w:t>
            </w:r>
          </w:p>
        </w:tc>
        <w:tc>
          <w:tcPr/>
          <w:p>
            <w:pPr>
              <w:pStyle w:val="Compact"/>
              <w:jc w:val="left"/>
            </w:pPr>
            <w:r>
              <w:t xml:space="preserve">12,300,000</w:t>
            </w:r>
          </w:p>
        </w:tc>
        <w:tc>
          <w:tcPr/>
          <w:p>
            <w:pPr>
              <w:pStyle w:val="Compact"/>
              <w:jc w:val="left"/>
            </w:pPr>
            <w:r>
              <w:t xml:space="preserve">24,600,000</w:t>
            </w:r>
          </w:p>
        </w:tc>
      </w:tr>
      <w:tr>
        <w:tc>
          <w:tcPr/>
          <w:p>
            <w:pPr>
              <w:pStyle w:val="Compact"/>
              <w:jc w:val="left"/>
            </w:pPr>
            <w:r>
              <w:t xml:space="preserve">03</w:t>
            </w:r>
          </w:p>
        </w:tc>
        <w:tc>
          <w:tcPr/>
          <w:p>
            <w:pPr>
              <w:pStyle w:val="Compact"/>
              <w:jc w:val="left"/>
            </w:pPr>
            <w:r>
              <w:t xml:space="preserve">Official Document Filing System</w:t>
            </w:r>
          </w:p>
        </w:tc>
        <w:tc>
          <w:tcPr/>
          <w:p>
            <w:pPr>
              <w:pStyle w:val="Compact"/>
              <w:jc w:val="left"/>
            </w:pPr>
            <w:r>
              <w:t xml:space="preserve">Steel, 12-drawer, Tehran Assembly standard</w:t>
            </w:r>
          </w:p>
        </w:tc>
        <w:tc>
          <w:tcPr/>
          <w:p>
            <w:pPr>
              <w:pStyle w:val="Compact"/>
              <w:jc w:val="left"/>
            </w:pPr>
            <w:r>
              <w:t xml:space="preserve">3</w:t>
            </w:r>
          </w:p>
        </w:tc>
        <w:tc>
          <w:tcPr/>
          <w:p>
            <w:pPr>
              <w:pStyle w:val="Compact"/>
              <w:jc w:val="left"/>
            </w:pPr>
            <w:r>
              <w:t xml:space="preserve">8,750,000</w:t>
            </w:r>
          </w:p>
        </w:tc>
        <w:tc>
          <w:tcPr/>
          <w:p>
            <w:pPr>
              <w:pStyle w:val="Compact"/>
              <w:jc w:val="left"/>
            </w:pPr>
            <w:r>
              <w:t xml:space="preserve">26,250,000</w:t>
            </w:r>
          </w:p>
        </w:tc>
      </w:tr>
      <w:tr>
        <w:tc>
          <w:tcPr/>
          <w:p>
            <w:pPr>
              <w:pStyle w:val="Compact"/>
              <w:jc w:val="left"/>
            </w:pPr>
            <w:r>
              <w:t xml:space="preserve">04</w:t>
            </w:r>
          </w:p>
        </w:tc>
        <w:tc>
          <w:tcPr/>
          <w:p>
            <w:pPr>
              <w:pStyle w:val="Compact"/>
              <w:jc w:val="left"/>
            </w:pPr>
            <w:r>
              <w:t xml:space="preserve">Constitutional Reference Library Set</w:t>
            </w:r>
          </w:p>
        </w:tc>
        <w:tc>
          <w:tcPr/>
          <w:p>
            <w:pPr>
              <w:pStyle w:val="Compact"/>
              <w:jc w:val="left"/>
            </w:pPr>
            <w:r>
              <w:t xml:space="preserve">Complete set of Iranian legal codes, 2025 ed.</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Secure Communication Terminal</w:t>
            </w:r>
          </w:p>
        </w:tc>
        <w:tc>
          <w:tcPr/>
          <w:p>
            <w:pPr>
              <w:pStyle w:val="Compact"/>
              <w:jc w:val="left"/>
            </w:pPr>
            <w:r>
              <w:t xml:space="preserve">Encrypted, Tehran municipal network compatible</w:t>
            </w:r>
          </w:p>
        </w:tc>
        <w:tc>
          <w:tcPr/>
          <w:p>
            <w:pPr>
              <w:pStyle w:val="Compact"/>
              <w:jc w:val="left"/>
            </w:pPr>
            <w:r>
              <w:t xml:space="preserve">2</w:t>
            </w:r>
          </w:p>
        </w:tc>
        <w:tc>
          <w:tcPr/>
          <w:p>
            <w:pPr>
              <w:pStyle w:val="Compact"/>
              <w:jc w:val="left"/>
            </w:pPr>
            <w:r>
              <w:t xml:space="preserve">22,000,000</w:t>
            </w:r>
          </w:p>
        </w:tc>
        <w:tc>
          <w:tcPr/>
          <w:p>
            <w:pPr>
              <w:pStyle w:val="Compact"/>
              <w:jc w:val="left"/>
            </w:pPr>
            <w:r>
              <w:t xml:space="preserve">44,000,000</w:t>
            </w:r>
          </w:p>
        </w:tc>
      </w:tr>
      <w:tr>
        <w:tc>
          <w:tcPr/>
          <w:p>
            <w:pPr>
              <w:pStyle w:val="Compact"/>
              <w:jc w:val="left"/>
            </w:pPr>
            <w:r>
              <w:t xml:space="preserve">06</w:t>
            </w:r>
          </w:p>
        </w:tc>
        <w:tc>
          <w:tcPr/>
          <w:p>
            <w:pPr>
              <w:pStyle w:val="Compact"/>
              <w:jc w:val="left"/>
            </w:pPr>
            <w:r>
              <w:t xml:space="preserve">Citizen Petition Processing Station</w:t>
            </w:r>
          </w:p>
        </w:tc>
        <w:tc>
          <w:tcPr/>
          <w:p>
            <w:pPr>
              <w:pStyle w:val="Compact"/>
              <w:jc w:val="left"/>
            </w:pPr>
            <w:r>
              <w:t xml:space="preserve">Multi-language (Persian/English), digital</w:t>
            </w:r>
          </w:p>
        </w:tc>
        <w:tc>
          <w:tcPr/>
          <w:p>
            <w:pPr>
              <w:pStyle w:val="Compact"/>
              <w:jc w:val="left"/>
            </w:pPr>
            <w:r>
              <w:t xml:space="preserve">4</w:t>
            </w:r>
          </w:p>
        </w:tc>
        <w:tc>
          <w:tcPr/>
          <w:p>
            <w:pPr>
              <w:pStyle w:val="Compact"/>
              <w:jc w:val="left"/>
            </w:pPr>
            <w:r>
              <w:t xml:space="preserve">15,800,000</w:t>
            </w:r>
          </w:p>
        </w:tc>
        <w:tc>
          <w:tcPr/>
          <w:p>
            <w:pPr>
              <w:pStyle w:val="Compact"/>
              <w:jc w:val="left"/>
            </w:pPr>
            <w:r>
              <w:t xml:space="preserve">63,200,000</w:t>
            </w:r>
          </w:p>
        </w:tc>
      </w:tr>
      <w:tr>
        <w:tc>
          <w:tcPr/>
          <w:p>
            <w:pPr>
              <w:pStyle w:val="Compact"/>
              <w:jc w:val="left"/>
            </w:pPr>
            <w:r>
              <w:t xml:space="preserve">07</w:t>
            </w:r>
          </w:p>
        </w:tc>
        <w:tc>
          <w:tcPr/>
          <w:p>
            <w:pPr>
              <w:pStyle w:val="Compact"/>
              <w:jc w:val="left"/>
            </w:pPr>
            <w:r>
              <w:t xml:space="preserve">Official Seal and Stamp Set</w:t>
            </w:r>
          </w:p>
        </w:tc>
        <w:tc>
          <w:tcPr/>
          <w:p>
            <w:pPr>
              <w:pStyle w:val="Compact"/>
              <w:jc w:val="left"/>
            </w:pPr>
            <w:r>
              <w:t xml:space="preserve">Politician's personal seal, Tehran Assembly seal</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Parliamentary Session Recording Equipment</w:t>
            </w:r>
          </w:p>
        </w:tc>
        <w:tc>
          <w:tcPr/>
          <w:p>
            <w:pPr>
              <w:pStyle w:val="Compact"/>
              <w:jc w:val="left"/>
            </w:pPr>
            <w:r>
              <w:t xml:space="preserve">4-channel audio, Tehran Assembly spec</w:t>
            </w:r>
          </w:p>
        </w:tc>
        <w:tc>
          <w:tcPr/>
          <w:p>
            <w:pPr>
              <w:pStyle w:val="Compact"/>
              <w:jc w:val="left"/>
            </w:pPr>
            <w:r>
              <w:t xml:space="preserve">1</w:t>
            </w:r>
          </w:p>
        </w:tc>
        <w:tc>
          <w:tcPr/>
          <w:p>
            <w:pPr>
              <w:pStyle w:val="Compact"/>
              <w:jc w:val="left"/>
            </w:pPr>
            <w:r>
              <w:t xml:space="preserve">28,900,000</w:t>
            </w:r>
          </w:p>
        </w:tc>
        <w:tc>
          <w:tcPr/>
          <w:p>
            <w:pPr>
              <w:pStyle w:val="Compact"/>
              <w:jc w:val="left"/>
            </w:pPr>
            <w:r>
              <w:t xml:space="preserve">28,900,000</w:t>
            </w:r>
          </w:p>
        </w:tc>
      </w:tr>
      <w:tr>
        <w:tc>
          <w:tcPr/>
          <w:p>
            <w:pPr>
              <w:pStyle w:val="Compact"/>
              <w:jc w:val="left"/>
            </w:pPr>
            <w:r>
              <w:t xml:space="preserve">09</w:t>
            </w:r>
          </w:p>
        </w:tc>
        <w:tc>
          <w:tcPr/>
          <w:p>
            <w:pPr>
              <w:pStyle w:val="Compact"/>
              <w:jc w:val="left"/>
            </w:pPr>
            <w:r>
              <w:t xml:space="preserve">Constituent Meeting AV Package</w:t>
            </w:r>
          </w:p>
        </w:tc>
        <w:tc>
          <w:tcPr/>
          <w:p>
            <w:pPr>
              <w:pStyle w:val="Compact"/>
              <w:jc w:val="left"/>
            </w:pPr>
            <w:r>
              <w:t xml:space="preserve">Projector, screen, 6-mic array, Tehran venue size</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10</w:t>
            </w:r>
          </w:p>
        </w:tc>
        <w:tc>
          <w:tcPr/>
          <w:p>
            <w:pPr>
              <w:pStyle w:val="Compact"/>
              <w:jc w:val="left"/>
            </w:pPr>
            <w:r>
              <w:t xml:space="preserve">Official Stationery and Letterhead</w:t>
            </w:r>
          </w:p>
        </w:tc>
        <w:tc>
          <w:tcPr/>
          <w:p>
            <w:pPr>
              <w:pStyle w:val="Compact"/>
              <w:jc w:val="left"/>
            </w:pPr>
            <w:r>
              <w:t xml:space="preserve">Politician's name, Tehran Assembly crest, 5,000 sheets</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345,150,000 IRR</w:t>
            </w:r>
          </w:p>
        </w:tc>
      </w:tr>
      <w:tr>
        <w:tc>
          <w:tcPr/>
          <w:p>
            <w:pPr>
              <w:pStyle w:val="Compact"/>
              <w:jc w:val="left"/>
            </w:pPr>
            <w:r>
              <w:t xml:space="preserve">VAT (10%)</w:t>
            </w:r>
          </w:p>
        </w:tc>
        <w:tc>
          <w:tcPr/>
          <w:p>
            <w:pPr>
              <w:pStyle w:val="Compact"/>
              <w:jc w:val="right"/>
            </w:pPr>
            <w:r>
              <w:t xml:space="preserve">34,515,000 IRR</w:t>
            </w:r>
          </w:p>
        </w:tc>
      </w:tr>
      <w:tr>
        <w:tc>
          <w:tcPr/>
          <w:p>
            <w:pPr>
              <w:pStyle w:val="Compact"/>
              <w:jc w:val="left"/>
            </w:pPr>
            <w:r>
              <w:t xml:space="preserve">Delivery &amp; Installation (Tehran Metro Area)</w:t>
            </w:r>
          </w:p>
        </w:tc>
        <w:tc>
          <w:tcPr/>
          <w:p>
            <w:pPr>
              <w:pStyle w:val="Compact"/>
              <w:jc w:val="right"/>
            </w:pPr>
            <w:r>
              <w:t xml:space="preserve">8,750,000 IRR</w:t>
            </w:r>
          </w:p>
        </w:tc>
      </w:tr>
      <w:tr>
        <w:tc>
          <w:tcPr/>
          <w:p>
            <w:pPr>
              <w:pStyle w:val="Compact"/>
              <w:jc w:val="left"/>
            </w:pPr>
            <w:r>
              <w:t xml:space="preserve">GRAND TOTAL</w:t>
            </w:r>
          </w:p>
        </w:tc>
        <w:tc>
          <w:tcPr/>
          <w:p>
            <w:pPr>
              <w:pStyle w:val="Compact"/>
              <w:jc w:val="right"/>
            </w:pPr>
            <w:r>
              <w:t xml:space="preserve">388,415,000 IRR</w:t>
            </w:r>
          </w:p>
        </w:tc>
      </w:tr>
    </w:tbl>
    <w:bookmarkStart w:id="23" w:name="terms-and-conditions"/>
    <w:p>
      <w:pPr>
        <w:pStyle w:val="Heading3"/>
      </w:pPr>
      <w:r>
        <w:t xml:space="preserve">TERMS AND CONDITIONS</w:t>
      </w:r>
    </w:p>
    <w:p>
      <w:pPr>
        <w:numPr>
          <w:ilvl w:val="0"/>
          <w:numId w:val="1001"/>
        </w:numPr>
        <w:pStyle w:val="Compact"/>
      </w:pPr>
      <w:r>
        <w:t xml:space="preserve">This Purchase Order is issued under the authority of the Honorable Politician serving in the Tehran Municipal Assembly and is governed by the financial regulations of the Islamic Republic of Iran's municipal procurement code.</w:t>
      </w:r>
    </w:p>
    <w:p>
      <w:pPr>
        <w:numPr>
          <w:ilvl w:val="0"/>
          <w:numId w:val="1001"/>
        </w:numPr>
        <w:pStyle w:val="Compact"/>
      </w:pPr>
      <w:r>
        <w:t xml:space="preserve">All items shall be delivered to the politician's designated office at 12 Vali-e-Asr Street, Tehran, Iran, within fourteen (14) calendar days of the date of this Purchase Order.</w:t>
      </w:r>
    </w:p>
    <w:p>
      <w:pPr>
        <w:numPr>
          <w:ilvl w:val="0"/>
          <w:numId w:val="1001"/>
        </w:numPr>
        <w:pStyle w:val="Compact"/>
      </w:pPr>
      <w:r>
        <w:t xml:space="preserve">Payment shall be made in Iranian Rials (IRR) via bank transfer to the supplier's registered account within thirty (30) days of confirmed delivery and acceptance by the politician's administrative office.</w:t>
      </w:r>
    </w:p>
    <w:p>
      <w:pPr>
        <w:numPr>
          <w:ilvl w:val="0"/>
          <w:numId w:val="1001"/>
        </w:numPr>
        <w:pStyle w:val="Compact"/>
      </w:pPr>
      <w:r>
        <w:t xml:space="preserve">The supplier warrants that all goods conform to the specifications stated herein and to the quality standards mandated by the Tehran Municipal Assembly for official use by its elected representatives.</w:t>
      </w:r>
    </w:p>
    <w:p>
      <w:pPr>
        <w:numPr>
          <w:ilvl w:val="0"/>
          <w:numId w:val="1001"/>
        </w:numPr>
        <w:pStyle w:val="Compact"/>
      </w:pPr>
      <w:r>
        <w:t xml:space="preserve">Any dispute arising from this Purchase Order shall be resolved under the jurisdiction of the courts of Tehran, Iran, in accordance with the Civil Code of the Islamic Republic of Iran.</w:t>
      </w:r>
    </w:p>
    <w:p>
      <w:pPr>
        <w:numPr>
          <w:ilvl w:val="0"/>
          <w:numId w:val="1001"/>
        </w:numPr>
        <w:pStyle w:val="Compact"/>
      </w:pPr>
      <w:r>
        <w:t xml:space="preserve">This Purchase Order may not be transferred, assigned, or subcontracted without the prior written consent of the Office of the Honorable Politician, Tehran.</w:t>
      </w:r>
    </w:p>
    <w:p>
      <w:pPr>
        <w:numPr>
          <w:ilvl w:val="0"/>
          <w:numId w:val="1001"/>
        </w:numPr>
        <w:pStyle w:val="Compact"/>
      </w:pPr>
      <w:r>
        <w:t xml:space="preserve">All documentation, including invoices and delivery receipts, must be prepared in Persian (Farsi) with an English translation attached for the politician's administrative records.</w:t>
      </w:r>
    </w:p>
    <w:p>
      <w:pPr>
        <w:numPr>
          <w:ilvl w:val="0"/>
          <w:numId w:val="1001"/>
        </w:numPr>
        <w:pStyle w:val="Compact"/>
      </w:pPr>
      <w:r>
        <w:t xml:space="preserve">The supplier acknowledges that the items procured under this Purchase Order are for the exclusive official use of the politician in the performance of legislative duties in Tehran and shall not be used for any private or commercial purpose.</w:t>
      </w:r>
    </w:p>
    <w:bookmarkEnd w:id="23"/>
    <w:p>
      <w:pPr>
        <w:pStyle w:val="FirstParagraph"/>
      </w:pPr>
      <w:r>
        <w:rPr>
          <w:bCs/>
          <w:b/>
        </w:rPr>
        <w:t xml:space="preserve">Authorized by (Buyer):</w:t>
      </w:r>
    </w:p>
    <w:p>
      <w:pPr>
        <w:pStyle w:val="BodyText"/>
      </w:pPr>
      <w:r>
        <w:t xml:space="preserve">Dr. Reza Karimi</w:t>
      </w:r>
      <w:r>
        <w:br/>
      </w:r>
      <w:r>
        <w:t xml:space="preserve">Chief of Staff, Office of the Honorable Politician</w:t>
      </w:r>
      <w:r>
        <w:br/>
      </w:r>
      <w:r>
        <w:t xml:space="preserve">Tehran Municipal Assembly, Iran</w:t>
      </w:r>
    </w:p>
    <w:p>
      <w:pPr>
        <w:pStyle w:val="BodyText"/>
      </w:pPr>
      <w:r>
        <w:t xml:space="preserve">APPROVED — TEHRAN ASSEMBLY</w:t>
      </w:r>
    </w:p>
    <w:p>
      <w:pPr>
        <w:pStyle w:val="BodyText"/>
      </w:pPr>
      <w:r>
        <w:rPr>
          <w:bCs/>
          <w:b/>
        </w:rPr>
        <w:t xml:space="preserve">Accepted by (Supplier):</w:t>
      </w:r>
    </w:p>
    <w:p>
      <w:pPr>
        <w:pStyle w:val="BodyText"/>
      </w:pPr>
      <w:r>
        <w:t xml:space="preserve">Ms. Fatemeh Ahmadi</w:t>
      </w:r>
      <w:r>
        <w:br/>
      </w:r>
      <w:r>
        <w:t xml:space="preserve">Account Manager, Persia Office Solutions Co., Ltd.</w:t>
      </w:r>
      <w:r>
        <w:br/>
      </w:r>
      <w:r>
        <w:t xml:space="preserve">Tehran, Iran</w:t>
      </w:r>
    </w:p>
    <w:p>
      <w:pPr>
        <w:pStyle w:val="BodyText"/>
      </w:pPr>
      <w:r>
        <w:t xml:space="preserve">CONFIRMED — SUPPLIER</w:t>
      </w:r>
    </w:p>
    <w:p>
      <w:pPr>
        <w:pStyle w:val="BodyText"/>
      </w:pPr>
      <w:r>
        <w:t xml:space="preserve">This Purchase Order document is the property of the Office of the Honorable Politician, Tehran Municipal Assembly, Republic of Iran. Unauthorized reproduction or distribution is prohibited under Iranian law. Document Reference: IR-THR-2025-04782. Issued in Tehran, Iran.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Iran Tehran</dc:title>
  <dc:creator/>
  <dc:language>en</dc:language>
  <cp:keywords/>
  <dcterms:created xsi:type="dcterms:W3CDTF">2026-10-10T01:20:13Z</dcterms:created>
  <dcterms:modified xsi:type="dcterms:W3CDTF">2026-10-10T01:20:13Z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